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3EE" w:rsidRPr="00AF3BAD" w:rsidRDefault="00AF3BAD" w:rsidP="00AF3BAD">
      <w:pPr>
        <w:spacing w:after="0"/>
        <w:jc w:val="right"/>
        <w:rPr>
          <w:rFonts w:ascii="Times New Roman" w:hAnsi="Times New Roman" w:cs="Times New Roman"/>
          <w:sz w:val="28"/>
          <w:szCs w:val="28"/>
        </w:rPr>
      </w:pPr>
      <w:r w:rsidRPr="00AF3BAD">
        <w:rPr>
          <w:rFonts w:ascii="Times New Roman" w:hAnsi="Times New Roman" w:cs="Times New Roman"/>
          <w:sz w:val="28"/>
          <w:szCs w:val="28"/>
        </w:rPr>
        <w:t>До № 5614 від 28.12.2016 р.</w:t>
      </w:r>
    </w:p>
    <w:p w:rsidR="00AF3BAD" w:rsidRP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right"/>
        <w:rPr>
          <w:rFonts w:ascii="Times New Roman" w:hAnsi="Times New Roman" w:cs="Times New Roman"/>
          <w:sz w:val="28"/>
          <w:szCs w:val="28"/>
        </w:rPr>
      </w:pPr>
    </w:p>
    <w:p w:rsid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right"/>
        <w:rPr>
          <w:rFonts w:ascii="Times New Roman" w:hAnsi="Times New Roman" w:cs="Times New Roman"/>
          <w:sz w:val="28"/>
          <w:szCs w:val="28"/>
        </w:rPr>
      </w:pPr>
      <w:r w:rsidRPr="00AF3BAD">
        <w:rPr>
          <w:rFonts w:ascii="Times New Roman" w:hAnsi="Times New Roman" w:cs="Times New Roman"/>
          <w:sz w:val="28"/>
          <w:szCs w:val="28"/>
        </w:rPr>
        <w:t>ВЕРХОВНА РАДА УКРАЇНИ</w:t>
      </w:r>
    </w:p>
    <w:p w:rsidR="00AF3BAD" w:rsidRPr="00AF3BAD" w:rsidRDefault="00AF3BAD" w:rsidP="00AF3BAD">
      <w:pPr>
        <w:spacing w:after="0"/>
        <w:jc w:val="right"/>
        <w:rPr>
          <w:rFonts w:ascii="Times New Roman" w:hAnsi="Times New Roman" w:cs="Times New Roman"/>
          <w:sz w:val="28"/>
          <w:szCs w:val="28"/>
        </w:rPr>
      </w:pP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hAnsi="Times New Roman" w:cs="Times New Roman"/>
          <w:sz w:val="28"/>
          <w:szCs w:val="28"/>
        </w:rPr>
        <w:tab/>
        <w:t xml:space="preserve">Вносимо на розгляд Верховної Ради України </w:t>
      </w:r>
      <w:r w:rsidRPr="00AF3BAD">
        <w:rPr>
          <w:rFonts w:ascii="Times New Roman" w:hAnsi="Times New Roman" w:cs="Times New Roman"/>
          <w:color w:val="000000" w:themeColor="text1"/>
          <w:sz w:val="28"/>
          <w:szCs w:val="28"/>
        </w:rPr>
        <w:t xml:space="preserve">проект закону України про систему збирання та утилізації використаної тари (реєстр. № 5614 від 28.12.2016 р.), поданий народними депутатами України </w:t>
      </w:r>
      <w:hyperlink r:id="rId4" w:tgtFrame="_blank" w:history="1">
        <w:r w:rsidRPr="00AF3BAD">
          <w:rPr>
            <w:rFonts w:ascii="Times New Roman" w:eastAsia="Times New Roman" w:hAnsi="Times New Roman" w:cs="Times New Roman"/>
            <w:color w:val="000000" w:themeColor="text1"/>
            <w:sz w:val="28"/>
            <w:szCs w:val="28"/>
            <w:lang w:eastAsia="uk-UA"/>
          </w:rPr>
          <w:t xml:space="preserve">Луценко </w:t>
        </w:r>
        <w:proofErr w:type="spellStart"/>
        <w:r w:rsidRPr="00AF3BAD">
          <w:rPr>
            <w:rFonts w:ascii="Times New Roman" w:eastAsia="Times New Roman" w:hAnsi="Times New Roman" w:cs="Times New Roman"/>
            <w:color w:val="000000" w:themeColor="text1"/>
            <w:sz w:val="28"/>
            <w:szCs w:val="28"/>
            <w:lang w:eastAsia="uk-UA"/>
          </w:rPr>
          <w:t>І.С</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5" w:tgtFrame="_blank" w:history="1">
        <w:proofErr w:type="spellStart"/>
        <w:r w:rsidRPr="00AF3BAD">
          <w:rPr>
            <w:rFonts w:ascii="Times New Roman" w:eastAsia="Times New Roman" w:hAnsi="Times New Roman" w:cs="Times New Roman"/>
            <w:color w:val="000000" w:themeColor="text1"/>
            <w:sz w:val="28"/>
            <w:szCs w:val="28"/>
            <w:lang w:eastAsia="uk-UA"/>
          </w:rPr>
          <w:t>Тригубенком</w:t>
        </w:r>
        <w:proofErr w:type="spellEnd"/>
        <w:r w:rsidRPr="00AF3BAD">
          <w:rPr>
            <w:rFonts w:ascii="Times New Roman" w:eastAsia="Times New Roman" w:hAnsi="Times New Roman" w:cs="Times New Roman"/>
            <w:color w:val="000000" w:themeColor="text1"/>
            <w:sz w:val="28"/>
            <w:szCs w:val="28"/>
            <w:lang w:eastAsia="uk-UA"/>
          </w:rPr>
          <w:t xml:space="preserve"> С.М.</w:t>
        </w:r>
      </w:hyperlink>
      <w:r w:rsidRPr="00AF3BAD">
        <w:rPr>
          <w:rFonts w:ascii="Times New Roman" w:eastAsia="Times New Roman" w:hAnsi="Times New Roman" w:cs="Times New Roman"/>
          <w:color w:val="000000" w:themeColor="text1"/>
          <w:sz w:val="28"/>
          <w:szCs w:val="28"/>
          <w:lang w:eastAsia="uk-UA"/>
        </w:rPr>
        <w:t xml:space="preserve">, </w:t>
      </w:r>
      <w:hyperlink r:id="rId6" w:tgtFrame="_blank" w:history="1">
        <w:proofErr w:type="spellStart"/>
        <w:r w:rsidRPr="00AF3BAD">
          <w:rPr>
            <w:rFonts w:ascii="Times New Roman" w:eastAsia="Times New Roman" w:hAnsi="Times New Roman" w:cs="Times New Roman"/>
            <w:color w:val="000000" w:themeColor="text1"/>
            <w:sz w:val="28"/>
            <w:szCs w:val="28"/>
            <w:lang w:eastAsia="uk-UA"/>
          </w:rPr>
          <w:t>Іоновою</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М.М</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7" w:tgtFrame="_blank" w:history="1">
        <w:r w:rsidRPr="00AF3BAD">
          <w:rPr>
            <w:rFonts w:ascii="Times New Roman" w:eastAsia="Times New Roman" w:hAnsi="Times New Roman" w:cs="Times New Roman"/>
            <w:color w:val="000000" w:themeColor="text1"/>
            <w:sz w:val="28"/>
            <w:szCs w:val="28"/>
            <w:lang w:eastAsia="uk-UA"/>
          </w:rPr>
          <w:t xml:space="preserve">Іванчуком </w:t>
        </w:r>
        <w:proofErr w:type="spellStart"/>
        <w:r w:rsidRPr="00AF3BAD">
          <w:rPr>
            <w:rFonts w:ascii="Times New Roman" w:eastAsia="Times New Roman" w:hAnsi="Times New Roman" w:cs="Times New Roman"/>
            <w:color w:val="000000" w:themeColor="text1"/>
            <w:sz w:val="28"/>
            <w:szCs w:val="28"/>
            <w:lang w:eastAsia="uk-UA"/>
          </w:rPr>
          <w:t>А.В</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8" w:tgtFrame="_blank" w:history="1">
        <w:proofErr w:type="spellStart"/>
        <w:r w:rsidRPr="00AF3BAD">
          <w:rPr>
            <w:rFonts w:ascii="Times New Roman" w:eastAsia="Times New Roman" w:hAnsi="Times New Roman" w:cs="Times New Roman"/>
            <w:color w:val="000000" w:themeColor="text1"/>
            <w:sz w:val="28"/>
            <w:szCs w:val="28"/>
            <w:lang w:eastAsia="uk-UA"/>
          </w:rPr>
          <w:t>Котвіцьким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І.О</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9" w:tgtFrame="_blank" w:history="1">
        <w:r w:rsidRPr="00AF3BAD">
          <w:rPr>
            <w:rFonts w:ascii="Times New Roman" w:eastAsia="Times New Roman" w:hAnsi="Times New Roman" w:cs="Times New Roman"/>
            <w:color w:val="000000" w:themeColor="text1"/>
            <w:sz w:val="28"/>
            <w:szCs w:val="28"/>
            <w:lang w:eastAsia="uk-UA"/>
          </w:rPr>
          <w:t xml:space="preserve">Рибаком </w:t>
        </w:r>
        <w:proofErr w:type="spellStart"/>
        <w:r w:rsidRPr="00AF3BAD">
          <w:rPr>
            <w:rFonts w:ascii="Times New Roman" w:eastAsia="Times New Roman" w:hAnsi="Times New Roman" w:cs="Times New Roman"/>
            <w:color w:val="000000" w:themeColor="text1"/>
            <w:sz w:val="28"/>
            <w:szCs w:val="28"/>
            <w:lang w:eastAsia="uk-UA"/>
          </w:rPr>
          <w:t>І.П</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10" w:tgtFrame="_blank" w:history="1">
        <w:proofErr w:type="spellStart"/>
        <w:r w:rsidRPr="00AF3BAD">
          <w:rPr>
            <w:rFonts w:ascii="Times New Roman" w:eastAsia="Times New Roman" w:hAnsi="Times New Roman" w:cs="Times New Roman"/>
            <w:color w:val="000000" w:themeColor="text1"/>
            <w:sz w:val="28"/>
            <w:szCs w:val="28"/>
            <w:lang w:eastAsia="uk-UA"/>
          </w:rPr>
          <w:t>Тімішем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Г.І</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11" w:tgtFrame="_blank" w:history="1">
        <w:proofErr w:type="spellStart"/>
        <w:r w:rsidRPr="00AF3BAD">
          <w:rPr>
            <w:rFonts w:ascii="Times New Roman" w:eastAsia="Times New Roman" w:hAnsi="Times New Roman" w:cs="Times New Roman"/>
            <w:color w:val="000000" w:themeColor="text1"/>
            <w:sz w:val="28"/>
            <w:szCs w:val="28"/>
            <w:lang w:eastAsia="uk-UA"/>
          </w:rPr>
          <w:t>Дирівим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А.Б</w:t>
        </w:r>
        <w:proofErr w:type="spellEnd"/>
        <w:r w:rsidRPr="00AF3BAD">
          <w:rPr>
            <w:rFonts w:ascii="Times New Roman" w:eastAsia="Times New Roman" w:hAnsi="Times New Roman" w:cs="Times New Roman"/>
            <w:color w:val="000000" w:themeColor="text1"/>
            <w:sz w:val="28"/>
            <w:szCs w:val="28"/>
            <w:lang w:eastAsia="uk-UA"/>
          </w:rPr>
          <w:t xml:space="preserve">., </w:t>
        </w:r>
      </w:hyperlink>
      <w:hyperlink r:id="rId12" w:tgtFrame="_blank" w:history="1">
        <w:proofErr w:type="spellStart"/>
        <w:r w:rsidRPr="00AF3BAD">
          <w:rPr>
            <w:rFonts w:ascii="Times New Roman" w:eastAsia="Times New Roman" w:hAnsi="Times New Roman" w:cs="Times New Roman"/>
            <w:color w:val="000000" w:themeColor="text1"/>
            <w:sz w:val="28"/>
            <w:szCs w:val="28"/>
            <w:lang w:eastAsia="uk-UA"/>
          </w:rPr>
          <w:t>Іщейкіним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К.Є</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13" w:tgtFrame="_blank" w:history="1">
        <w:proofErr w:type="spellStart"/>
        <w:r w:rsidRPr="00AF3BAD">
          <w:rPr>
            <w:rFonts w:ascii="Times New Roman" w:eastAsia="Times New Roman" w:hAnsi="Times New Roman" w:cs="Times New Roman"/>
            <w:color w:val="000000" w:themeColor="text1"/>
            <w:sz w:val="28"/>
            <w:szCs w:val="28"/>
            <w:lang w:eastAsia="uk-UA"/>
          </w:rPr>
          <w:t>Дзюбликом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П.В</w:t>
        </w:r>
        <w:proofErr w:type="spellEnd"/>
        <w:r w:rsidRPr="00AF3BAD">
          <w:rPr>
            <w:rFonts w:ascii="Times New Roman" w:eastAsia="Times New Roman" w:hAnsi="Times New Roman" w:cs="Times New Roman"/>
            <w:color w:val="000000" w:themeColor="text1"/>
            <w:sz w:val="28"/>
            <w:szCs w:val="28"/>
            <w:lang w:eastAsia="uk-UA"/>
          </w:rPr>
          <w:t>.</w:t>
        </w:r>
      </w:hyperlink>
      <w:r w:rsidR="006A7207">
        <w:rPr>
          <w:rFonts w:ascii="Times New Roman" w:eastAsia="Times New Roman" w:hAnsi="Times New Roman" w:cs="Times New Roman"/>
          <w:color w:val="000000" w:themeColor="text1"/>
          <w:sz w:val="28"/>
          <w:szCs w:val="28"/>
          <w:lang w:eastAsia="uk-UA"/>
        </w:rPr>
        <w:t xml:space="preserve">, </w:t>
      </w:r>
      <w:hyperlink r:id="rId14" w:tgtFrame="_blank" w:history="1">
        <w:proofErr w:type="spellStart"/>
        <w:r w:rsidRPr="00AF3BAD">
          <w:rPr>
            <w:rFonts w:ascii="Times New Roman" w:eastAsia="Times New Roman" w:hAnsi="Times New Roman" w:cs="Times New Roman"/>
            <w:color w:val="000000" w:themeColor="text1"/>
            <w:sz w:val="28"/>
            <w:szCs w:val="28"/>
            <w:lang w:eastAsia="uk-UA"/>
          </w:rPr>
          <w:t>Мураєвим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Є.В</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15" w:tgtFrame="_blank" w:history="1">
        <w:r w:rsidRPr="00AF3BAD">
          <w:rPr>
            <w:rFonts w:ascii="Times New Roman" w:eastAsia="Times New Roman" w:hAnsi="Times New Roman" w:cs="Times New Roman"/>
            <w:color w:val="000000" w:themeColor="text1"/>
            <w:sz w:val="28"/>
            <w:szCs w:val="28"/>
            <w:lang w:eastAsia="uk-UA"/>
          </w:rPr>
          <w:t xml:space="preserve">Пономарьовим </w:t>
        </w:r>
        <w:proofErr w:type="spellStart"/>
        <w:r w:rsidRPr="00AF3BAD">
          <w:rPr>
            <w:rFonts w:ascii="Times New Roman" w:eastAsia="Times New Roman" w:hAnsi="Times New Roman" w:cs="Times New Roman"/>
            <w:color w:val="000000" w:themeColor="text1"/>
            <w:sz w:val="28"/>
            <w:szCs w:val="28"/>
            <w:lang w:eastAsia="uk-UA"/>
          </w:rPr>
          <w:t>О.С</w:t>
        </w:r>
        <w:proofErr w:type="spellEnd"/>
        <w:r w:rsidRPr="00AF3BAD">
          <w:rPr>
            <w:rFonts w:ascii="Times New Roman" w:eastAsia="Times New Roman" w:hAnsi="Times New Roman" w:cs="Times New Roman"/>
            <w:color w:val="000000" w:themeColor="text1"/>
            <w:sz w:val="28"/>
            <w:szCs w:val="28"/>
            <w:lang w:eastAsia="uk-UA"/>
          </w:rPr>
          <w:t>.</w:t>
        </w:r>
      </w:hyperlink>
      <w:r w:rsidRPr="00AF3BAD">
        <w:rPr>
          <w:rFonts w:ascii="Times New Roman" w:eastAsia="Times New Roman" w:hAnsi="Times New Roman" w:cs="Times New Roman"/>
          <w:color w:val="000000" w:themeColor="text1"/>
          <w:sz w:val="28"/>
          <w:szCs w:val="28"/>
          <w:lang w:eastAsia="uk-UA"/>
        </w:rPr>
        <w:t xml:space="preserve">, </w:t>
      </w:r>
      <w:hyperlink r:id="rId16" w:tgtFrame="_blank" w:history="1">
        <w:proofErr w:type="spellStart"/>
        <w:r w:rsidRPr="00AF3BAD">
          <w:rPr>
            <w:rFonts w:ascii="Times New Roman" w:eastAsia="Times New Roman" w:hAnsi="Times New Roman" w:cs="Times New Roman"/>
            <w:color w:val="000000" w:themeColor="text1"/>
            <w:sz w:val="28"/>
            <w:szCs w:val="28"/>
            <w:lang w:eastAsia="uk-UA"/>
          </w:rPr>
          <w:t>Валентировим</w:t>
        </w:r>
        <w:proofErr w:type="spellEnd"/>
        <w:r w:rsidRPr="00AF3BAD">
          <w:rPr>
            <w:rFonts w:ascii="Times New Roman" w:eastAsia="Times New Roman" w:hAnsi="Times New Roman" w:cs="Times New Roman"/>
            <w:color w:val="000000" w:themeColor="text1"/>
            <w:sz w:val="28"/>
            <w:szCs w:val="28"/>
            <w:lang w:eastAsia="uk-UA"/>
          </w:rPr>
          <w:t xml:space="preserve"> </w:t>
        </w:r>
        <w:proofErr w:type="spellStart"/>
        <w:r w:rsidRPr="00AF3BAD">
          <w:rPr>
            <w:rFonts w:ascii="Times New Roman" w:eastAsia="Times New Roman" w:hAnsi="Times New Roman" w:cs="Times New Roman"/>
            <w:color w:val="000000" w:themeColor="text1"/>
            <w:sz w:val="28"/>
            <w:szCs w:val="28"/>
            <w:lang w:eastAsia="uk-UA"/>
          </w:rPr>
          <w:t>С.В</w:t>
        </w:r>
        <w:proofErr w:type="spellEnd"/>
        <w:r w:rsidRPr="00AF3BAD">
          <w:rPr>
            <w:rFonts w:ascii="Times New Roman" w:eastAsia="Times New Roman" w:hAnsi="Times New Roman" w:cs="Times New Roman"/>
            <w:color w:val="000000" w:themeColor="text1"/>
            <w:sz w:val="28"/>
            <w:szCs w:val="28"/>
            <w:lang w:eastAsia="uk-UA"/>
          </w:rPr>
          <w:t>.</w:t>
        </w:r>
      </w:hyperlink>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Як зазначено у пояснювальній записці до законопроекту, він розроблений з метою мотивації суб'єктів господарювання та громадян до ощадного використання ресурсів та зменшення обсягів утворення відходів.</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Для реалізації цієї мети пропонується</w:t>
      </w:r>
      <w:r w:rsidR="006A7207">
        <w:rPr>
          <w:rFonts w:ascii="Times New Roman" w:eastAsia="Times New Roman" w:hAnsi="Times New Roman" w:cs="Times New Roman"/>
          <w:color w:val="000000" w:themeColor="text1"/>
          <w:sz w:val="28"/>
          <w:szCs w:val="28"/>
          <w:lang w:eastAsia="uk-UA"/>
        </w:rPr>
        <w:t xml:space="preserve"> запровадити депозитарну систему</w:t>
      </w:r>
      <w:r w:rsidRPr="00AF3BAD">
        <w:rPr>
          <w:rFonts w:ascii="Times New Roman" w:eastAsia="Times New Roman" w:hAnsi="Times New Roman" w:cs="Times New Roman"/>
          <w:color w:val="000000" w:themeColor="text1"/>
          <w:sz w:val="28"/>
          <w:szCs w:val="28"/>
          <w:lang w:eastAsia="uk-UA"/>
        </w:rPr>
        <w:t xml:space="preserve"> збирання використаної тари, яка передбачає, що виробники та імпортери повинні будуть приймати участь у депозитарній системі тари шляхом позначення тари депозитними етикетками. Ці етикетки будуть свідчити про те, що споживач має право повернути саме цю тару до точок збору використаної тари та отримати відшкодування за кожну одиницю тари.</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Проектом пропонується поширити сферу дії тільки на тару з-під харчових напоїв, за виключенням лікеро-горілчаних виробів, продукції, що перебуває в режимі транзиту, експортної продукції та дитячого харчування.</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Також проектом пропонується введення адміністративної та кримінальної відповідальності за порушення законодавства у сфері поводження з відходами тари.</w:t>
      </w:r>
    </w:p>
    <w:p w:rsidR="00AF3BAD" w:rsidRPr="00AF3BAD" w:rsidRDefault="00AF3BAD" w:rsidP="00AF3BAD">
      <w:pPr>
        <w:spacing w:after="0" w:line="240" w:lineRule="auto"/>
        <w:ind w:firstLine="708"/>
        <w:jc w:val="both"/>
        <w:rPr>
          <w:rFonts w:ascii="Times New Roman" w:eastAsia="Times New Roman" w:hAnsi="Times New Roman" w:cs="Times New Roman"/>
          <w:sz w:val="28"/>
          <w:szCs w:val="28"/>
          <w:lang w:eastAsia="ru-RU"/>
        </w:rPr>
      </w:pPr>
      <w:r w:rsidRPr="00AF3BAD">
        <w:rPr>
          <w:rFonts w:ascii="Times New Roman" w:eastAsia="Times New Roman" w:hAnsi="Times New Roman" w:cs="Times New Roman"/>
          <w:sz w:val="28"/>
          <w:szCs w:val="28"/>
          <w:lang w:eastAsia="ru-RU"/>
        </w:rPr>
        <w:t>Слід зазначити, що будь-яка система заставних цін на зворотну тару може існувати лише за умови стабільної економічної зацікавленості виробників продукції чи пакувальників в отриманні зазначеної тари, тобто стабільному попиті на зазначену зворотну тару. Якщо цей попит не є стабільним або розповсюджується не на всі види тари, таку систему можна розглядати лише як окрему частину загальної системи управління упаковкою та її відходами.</w:t>
      </w:r>
    </w:p>
    <w:p w:rsidR="00AF3BAD" w:rsidRPr="00AF3BAD" w:rsidRDefault="00AF3BAD" w:rsidP="00AF3BAD">
      <w:pPr>
        <w:spacing w:after="0" w:line="240" w:lineRule="auto"/>
        <w:jc w:val="both"/>
        <w:rPr>
          <w:rFonts w:ascii="Times New Roman" w:eastAsia="Times New Roman" w:hAnsi="Times New Roman" w:cs="Times New Roman"/>
          <w:sz w:val="28"/>
          <w:szCs w:val="28"/>
          <w:lang w:eastAsia="ru-RU"/>
        </w:rPr>
      </w:pPr>
      <w:r w:rsidRPr="00AF3BAD">
        <w:rPr>
          <w:rFonts w:ascii="Times New Roman" w:eastAsia="Times New Roman" w:hAnsi="Times New Roman" w:cs="Times New Roman"/>
          <w:sz w:val="28"/>
          <w:szCs w:val="28"/>
          <w:lang w:eastAsia="ru-RU"/>
        </w:rPr>
        <w:tab/>
        <w:t>Також варто взяти до уваги досвід запровадження депозитної системи щодо тари з-під напоїв в інших країнах світу, який вказує, що ці системи більш витратні для компаній-виробників, ніж для організацій з утилізації відходів. В депозитних системах внески на одиницю продукції вищі, ніж внески усіх секторів системи поводження з відходами еквівалентними видами упаковки.</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lastRenderedPageBreak/>
        <w:tab/>
        <w:t>Функціонування депозитної системи вимагає значних фінансових вкладень, які зумовлені необхідністю забезпечення належного рівня безпеки від підробки депозитних етикеток, придбання спеціального обладнання для прийому тари, створенню належно захищених місць для її зберігання, створення нової логістики  для збору тари та доставки її на перероблення, розроблення систем</w:t>
      </w:r>
      <w:r w:rsidR="006A7207">
        <w:rPr>
          <w:rFonts w:ascii="Times New Roman" w:eastAsia="Times New Roman" w:hAnsi="Times New Roman" w:cs="Times New Roman"/>
          <w:color w:val="000000" w:themeColor="text1"/>
          <w:sz w:val="28"/>
          <w:szCs w:val="28"/>
          <w:lang w:eastAsia="uk-UA"/>
        </w:rPr>
        <w:t>и</w:t>
      </w:r>
      <w:bookmarkStart w:id="0" w:name="_GoBack"/>
      <w:bookmarkEnd w:id="0"/>
      <w:r w:rsidRPr="00AF3BAD">
        <w:rPr>
          <w:rFonts w:ascii="Times New Roman" w:eastAsia="Times New Roman" w:hAnsi="Times New Roman" w:cs="Times New Roman"/>
          <w:color w:val="000000" w:themeColor="text1"/>
          <w:sz w:val="28"/>
          <w:szCs w:val="28"/>
          <w:lang w:eastAsia="uk-UA"/>
        </w:rPr>
        <w:t xml:space="preserve"> обміну інформацією щодо проданої та повернутої тари.</w:t>
      </w:r>
    </w:p>
    <w:p w:rsidR="00AF3BAD" w:rsidRPr="00AF3BAD" w:rsidRDefault="00AF3BAD" w:rsidP="00AF3BAD">
      <w:pPr>
        <w:spacing w:after="0" w:line="240" w:lineRule="auto"/>
        <w:ind w:firstLine="708"/>
        <w:jc w:val="both"/>
        <w:rPr>
          <w:rFonts w:ascii="Times New Roman" w:eastAsia="Times New Roman" w:hAnsi="Times New Roman" w:cs="Times New Roman"/>
          <w:sz w:val="28"/>
          <w:szCs w:val="28"/>
          <w:lang w:eastAsia="ru-RU"/>
        </w:rPr>
      </w:pPr>
      <w:r w:rsidRPr="00AF3BAD">
        <w:rPr>
          <w:rFonts w:ascii="Times New Roman" w:eastAsia="Times New Roman" w:hAnsi="Times New Roman" w:cs="Times New Roman"/>
          <w:sz w:val="28"/>
          <w:szCs w:val="28"/>
          <w:lang w:eastAsia="ru-RU"/>
        </w:rPr>
        <w:t>У більшості випадків депозитні системи підвищують ціни – їх підтримка більш вартісна ніж галузь може заробити від повторного використання матеріалу, оскільки потребує додаткових дій, які не приносять доходу та знижують ефективність виробництва. Це додаткові витрати на обробку та сортування, а також виділення додаткових площ, що знижує прибутковість напоїв порівняно з іншими продуктами, призводить до підвищення цін для споживача.</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 xml:space="preserve">За висновками Комітету з питань бюджету реалізація законопроекту матиме вплив на показники бюджету – можуть збільшувати витрати державного та місцевих бюджетів та опосередковано збільшувати надходження державного бюджету у разі виявлення визначених законопроектом правопорушень. Комітет з питань бюджету звертає увагу, що суб'єктом права законодавчої ініціативи не надані відповідні фінансово-економічні </w:t>
      </w:r>
      <w:proofErr w:type="spellStart"/>
      <w:r w:rsidRPr="00AF3BAD">
        <w:rPr>
          <w:rFonts w:ascii="Times New Roman" w:eastAsia="Times New Roman" w:hAnsi="Times New Roman" w:cs="Times New Roman"/>
          <w:color w:val="000000" w:themeColor="text1"/>
          <w:sz w:val="28"/>
          <w:szCs w:val="28"/>
          <w:lang w:eastAsia="uk-UA"/>
        </w:rPr>
        <w:t>обгрунтування</w:t>
      </w:r>
      <w:proofErr w:type="spellEnd"/>
      <w:r w:rsidRPr="00AF3BAD">
        <w:rPr>
          <w:rFonts w:ascii="Times New Roman" w:eastAsia="Times New Roman" w:hAnsi="Times New Roman" w:cs="Times New Roman"/>
          <w:color w:val="000000" w:themeColor="text1"/>
          <w:sz w:val="28"/>
          <w:szCs w:val="28"/>
          <w:lang w:eastAsia="uk-UA"/>
        </w:rPr>
        <w:t xml:space="preserve"> та розрахунки. </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Як зазначено в експертному висновку Міністерства фінансів України запропонована депозитна система збору тари може призвести до збільшення вартості товарів в тарі, оскільки до ціни відповідного товару включатимуться витрати, пов'язані з депозитною системою, що в свою чергу може призвести до збільшення витрат державного бюджету при закупівлі цих товарів для державних потреб. На думку Міністерства законопроект потребує доопрацювання.</w:t>
      </w:r>
    </w:p>
    <w:p w:rsidR="00AF3BAD" w:rsidRPr="00AF3BAD" w:rsidRDefault="00AF3BAD" w:rsidP="00AF3BAD">
      <w:pPr>
        <w:spacing w:after="0"/>
        <w:jc w:val="both"/>
        <w:rPr>
          <w:rFonts w:ascii="Times New Roman" w:eastAsia="Times New Roman" w:hAnsi="Times New Roman" w:cs="Times New Roman"/>
          <w:color w:val="000000" w:themeColor="text1"/>
          <w:sz w:val="28"/>
          <w:szCs w:val="28"/>
          <w:lang w:eastAsia="uk-UA"/>
        </w:rPr>
      </w:pPr>
      <w:r w:rsidRPr="00AF3BAD">
        <w:rPr>
          <w:rFonts w:ascii="Times New Roman" w:eastAsia="Times New Roman" w:hAnsi="Times New Roman" w:cs="Times New Roman"/>
          <w:color w:val="000000" w:themeColor="text1"/>
          <w:sz w:val="28"/>
          <w:szCs w:val="28"/>
          <w:lang w:eastAsia="uk-UA"/>
        </w:rPr>
        <w:tab/>
        <w:t>Головне науково-експертне управління вважає доцільним на законодавчому рівні встановити загальний порядок поводження з упаковкою та відходами упаковки, а не окремий порядок збирання та утилізації використаної тари, як це передбачено у проекті, і пропонує використати положення даного законопроекту при доопрацюванні до другого читання проекту Закону України про упаковку та відходи упаковки (реєстр. № 4028).</w:t>
      </w:r>
    </w:p>
    <w:p w:rsidR="00AF3BAD" w:rsidRDefault="00AF3BAD" w:rsidP="00AF3BAD">
      <w:pPr>
        <w:spacing w:after="0"/>
        <w:jc w:val="both"/>
        <w:rPr>
          <w:rFonts w:ascii="Times New Roman" w:hAnsi="Times New Roman" w:cs="Times New Roman"/>
          <w:color w:val="000000" w:themeColor="text1"/>
          <w:sz w:val="28"/>
          <w:szCs w:val="28"/>
        </w:rPr>
      </w:pPr>
      <w:r w:rsidRPr="00AF3BAD">
        <w:rPr>
          <w:rFonts w:ascii="Times New Roman" w:hAnsi="Times New Roman" w:cs="Times New Roman"/>
          <w:sz w:val="28"/>
          <w:szCs w:val="28"/>
        </w:rPr>
        <w:tab/>
        <w:t xml:space="preserve">Комітет Рекомендує Верховній Раді України </w:t>
      </w:r>
      <w:r w:rsidRPr="00AF3BAD">
        <w:rPr>
          <w:rFonts w:ascii="Times New Roman" w:hAnsi="Times New Roman" w:cs="Times New Roman"/>
          <w:color w:val="000000" w:themeColor="text1"/>
          <w:sz w:val="28"/>
          <w:szCs w:val="28"/>
        </w:rPr>
        <w:t>проект закону України про систему збирання та утилізації використаної тари (реєстр. № 5614) прийняти за основу з подальши</w:t>
      </w:r>
      <w:r>
        <w:rPr>
          <w:rFonts w:ascii="Times New Roman" w:hAnsi="Times New Roman" w:cs="Times New Roman"/>
          <w:color w:val="000000" w:themeColor="text1"/>
          <w:sz w:val="28"/>
          <w:szCs w:val="28"/>
        </w:rPr>
        <w:t>м</w:t>
      </w:r>
      <w:r w:rsidRPr="00AF3BAD">
        <w:rPr>
          <w:rFonts w:ascii="Times New Roman" w:hAnsi="Times New Roman" w:cs="Times New Roman"/>
          <w:color w:val="000000" w:themeColor="text1"/>
          <w:sz w:val="28"/>
          <w:szCs w:val="28"/>
        </w:rPr>
        <w:t xml:space="preserve"> доопрацюванням Комітетом.</w:t>
      </w:r>
    </w:p>
    <w:p w:rsidR="00AF3BAD" w:rsidRDefault="00AF3BAD" w:rsidP="00AF3BA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color w:val="000000" w:themeColor="text1"/>
          <w:sz w:val="28"/>
          <w:szCs w:val="28"/>
        </w:rPr>
        <w:tab/>
      </w:r>
      <w:r>
        <w:rPr>
          <w:rFonts w:ascii="Times New Roman" w:hAnsi="Times New Roman" w:cs="Times New Roman"/>
          <w:sz w:val="28"/>
          <w:szCs w:val="28"/>
        </w:rPr>
        <w:t xml:space="preserve">Співдоповідачем на пленарному засіданні Верховної Ради України визначено народного депутата України Рибака </w:t>
      </w:r>
      <w:proofErr w:type="spellStart"/>
      <w:r>
        <w:rPr>
          <w:rFonts w:ascii="Times New Roman" w:hAnsi="Times New Roman" w:cs="Times New Roman"/>
          <w:sz w:val="28"/>
          <w:szCs w:val="28"/>
        </w:rPr>
        <w:t>І.П</w:t>
      </w:r>
      <w:proofErr w:type="spellEnd"/>
      <w:r>
        <w:rPr>
          <w:rFonts w:ascii="Times New Roman" w:hAnsi="Times New Roman" w:cs="Times New Roman"/>
          <w:sz w:val="28"/>
          <w:szCs w:val="28"/>
        </w:rPr>
        <w:t>.</w:t>
      </w:r>
    </w:p>
    <w:p w:rsidR="00AF3BAD" w:rsidRPr="00AF3BAD" w:rsidRDefault="00AF3BAD" w:rsidP="00AF3BAD">
      <w:pPr>
        <w:spacing w:after="0"/>
        <w:jc w:val="both"/>
        <w:rPr>
          <w:rFonts w:ascii="Times New Roman" w:hAnsi="Times New Roman" w:cs="Times New Roman"/>
          <w:color w:val="000000" w:themeColor="text1"/>
          <w:sz w:val="28"/>
          <w:szCs w:val="28"/>
        </w:rPr>
      </w:pPr>
    </w:p>
    <w:p w:rsidR="00AF3BAD" w:rsidRPr="00AF3BAD" w:rsidRDefault="00AF3BAD" w:rsidP="00AF3BAD">
      <w:pPr>
        <w:spacing w:after="0"/>
        <w:jc w:val="both"/>
        <w:rPr>
          <w:rFonts w:ascii="Times New Roman" w:hAnsi="Times New Roman" w:cs="Times New Roman"/>
          <w:color w:val="000000" w:themeColor="text1"/>
          <w:sz w:val="28"/>
          <w:szCs w:val="28"/>
        </w:rPr>
      </w:pPr>
      <w:r w:rsidRPr="00AF3BAD">
        <w:rPr>
          <w:rFonts w:ascii="Times New Roman" w:hAnsi="Times New Roman" w:cs="Times New Roman"/>
          <w:color w:val="000000" w:themeColor="text1"/>
          <w:sz w:val="28"/>
          <w:szCs w:val="28"/>
        </w:rPr>
        <w:tab/>
        <w:t>Перший заступник</w:t>
      </w:r>
    </w:p>
    <w:p w:rsidR="00AF3BAD" w:rsidRPr="00AF3BAD" w:rsidRDefault="00AF3BAD" w:rsidP="00AF3BAD">
      <w:pPr>
        <w:spacing w:after="0"/>
        <w:jc w:val="both"/>
        <w:rPr>
          <w:rFonts w:ascii="Times New Roman" w:hAnsi="Times New Roman" w:cs="Times New Roman"/>
          <w:sz w:val="28"/>
          <w:szCs w:val="28"/>
        </w:rPr>
      </w:pPr>
      <w:r w:rsidRPr="00AF3BAD">
        <w:rPr>
          <w:rFonts w:ascii="Times New Roman" w:hAnsi="Times New Roman" w:cs="Times New Roman"/>
          <w:color w:val="000000" w:themeColor="text1"/>
          <w:sz w:val="28"/>
          <w:szCs w:val="28"/>
        </w:rPr>
        <w:tab/>
        <w:t xml:space="preserve">Голови Комітету                                                               </w:t>
      </w:r>
      <w:proofErr w:type="spellStart"/>
      <w:r w:rsidRPr="00AF3BAD">
        <w:rPr>
          <w:rFonts w:ascii="Times New Roman" w:hAnsi="Times New Roman" w:cs="Times New Roman"/>
          <w:color w:val="000000" w:themeColor="text1"/>
          <w:sz w:val="28"/>
          <w:szCs w:val="28"/>
        </w:rPr>
        <w:t>А.Дирів</w:t>
      </w:r>
      <w:proofErr w:type="spellEnd"/>
    </w:p>
    <w:sectPr w:rsidR="00AF3BAD" w:rsidRPr="00AF3BAD" w:rsidSect="00A0025D">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AD"/>
    <w:rsid w:val="006A7207"/>
    <w:rsid w:val="00A0025D"/>
    <w:rsid w:val="00AF3BAD"/>
    <w:rsid w:val="00F613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0238"/>
  <w15:chartTrackingRefBased/>
  <w15:docId w15:val="{E5751757-8FB9-4D2E-B9D6-DC326C30A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17965" TargetMode="External"/><Relationship Id="rId13" Type="http://schemas.openxmlformats.org/officeDocument/2006/relationships/hyperlink" Target="http://itd.rada.gov.ua/mps/info/page/1808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itd.rada.gov.ua/mps/info/page/15654" TargetMode="External"/><Relationship Id="rId12" Type="http://schemas.openxmlformats.org/officeDocument/2006/relationships/hyperlink" Target="http://itd.rada.gov.ua/mps/info/page/18092"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td.rada.gov.ua/mps/info/page/18068" TargetMode="External"/><Relationship Id="rId1" Type="http://schemas.openxmlformats.org/officeDocument/2006/relationships/styles" Target="styles.xml"/><Relationship Id="rId6" Type="http://schemas.openxmlformats.org/officeDocument/2006/relationships/hyperlink" Target="http://itd.rada.gov.ua/mps/info/page/15672" TargetMode="External"/><Relationship Id="rId11" Type="http://schemas.openxmlformats.org/officeDocument/2006/relationships/hyperlink" Target="http://itd.rada.gov.ua/mps/info/page/15767" TargetMode="External"/><Relationship Id="rId5" Type="http://schemas.openxmlformats.org/officeDocument/2006/relationships/hyperlink" Target="http://itd.rada.gov.ua/mps/info/page/17987" TargetMode="External"/><Relationship Id="rId15" Type="http://schemas.openxmlformats.org/officeDocument/2006/relationships/hyperlink" Target="http://itd.rada.gov.ua/mps/info/page/15760" TargetMode="External"/><Relationship Id="rId10" Type="http://schemas.openxmlformats.org/officeDocument/2006/relationships/hyperlink" Target="http://itd.rada.gov.ua/mps/info/page/18142" TargetMode="External"/><Relationship Id="rId4" Type="http://schemas.openxmlformats.org/officeDocument/2006/relationships/hyperlink" Target="http://itd.rada.gov.ua/mps/info/page/15647" TargetMode="External"/><Relationship Id="rId9" Type="http://schemas.openxmlformats.org/officeDocument/2006/relationships/hyperlink" Target="http://itd.rada.gov.ua/mps/info/page/9123" TargetMode="External"/><Relationship Id="rId14" Type="http://schemas.openxmlformats.org/officeDocument/2006/relationships/hyperlink" Target="http://itd.rada.gov.ua/mps/info/page/15819"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3629</Words>
  <Characters>2070</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Омельянець Сергій Миколайович</dc:creator>
  <cp:keywords/>
  <dc:description/>
  <cp:lastModifiedBy>Омельянець Сергій Миколайович</cp:lastModifiedBy>
  <cp:revision>2</cp:revision>
  <dcterms:created xsi:type="dcterms:W3CDTF">2017-04-13T07:36:00Z</dcterms:created>
  <dcterms:modified xsi:type="dcterms:W3CDTF">2017-04-13T14:12:00Z</dcterms:modified>
</cp:coreProperties>
</file>