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049" w:rsidRPr="00924BF4" w:rsidRDefault="00894049" w:rsidP="00894049">
      <w:pPr>
        <w:ind w:firstLine="567"/>
        <w:jc w:val="center"/>
        <w:rPr>
          <w:b/>
          <w:sz w:val="28"/>
          <w:szCs w:val="28"/>
        </w:rPr>
      </w:pPr>
      <w:r w:rsidRPr="00924BF4">
        <w:rPr>
          <w:b/>
          <w:sz w:val="28"/>
          <w:szCs w:val="28"/>
        </w:rPr>
        <w:t>ВИСНОВОК</w:t>
      </w:r>
    </w:p>
    <w:p w:rsidR="00894049" w:rsidRPr="00924BF4" w:rsidRDefault="00894049" w:rsidP="00894049">
      <w:pPr>
        <w:ind w:firstLine="567"/>
        <w:jc w:val="center"/>
        <w:rPr>
          <w:b/>
          <w:sz w:val="28"/>
          <w:szCs w:val="28"/>
        </w:rPr>
      </w:pPr>
      <w:r w:rsidRPr="00924BF4">
        <w:rPr>
          <w:b/>
          <w:sz w:val="28"/>
          <w:szCs w:val="28"/>
        </w:rPr>
        <w:t>Комітету Верховної Ради України з питань європейської інтеграції</w:t>
      </w:r>
    </w:p>
    <w:p w:rsidR="00894049" w:rsidRPr="000949A4" w:rsidRDefault="00894049" w:rsidP="00894049">
      <w:pPr>
        <w:ind w:firstLine="567"/>
        <w:jc w:val="center"/>
        <w:rPr>
          <w:b/>
          <w:sz w:val="28"/>
          <w:szCs w:val="28"/>
        </w:rPr>
      </w:pPr>
      <w:r w:rsidRPr="00924BF4">
        <w:rPr>
          <w:b/>
          <w:sz w:val="28"/>
          <w:szCs w:val="28"/>
        </w:rPr>
        <w:t xml:space="preserve">щодо проекту Закону України </w:t>
      </w:r>
      <w:r w:rsidRPr="00885C95">
        <w:rPr>
          <w:b/>
          <w:sz w:val="28"/>
          <w:szCs w:val="28"/>
        </w:rPr>
        <w:t>«</w:t>
      </w:r>
      <w:r w:rsidRPr="00894049">
        <w:rPr>
          <w:b/>
          <w:sz w:val="28"/>
          <w:szCs w:val="28"/>
        </w:rPr>
        <w:t>Про внесення змін до статті 2-1 Кодексу законів про працю України щодо підтвердження наявності деяких ознак в порядку окремого провадження</w:t>
      </w:r>
      <w:r w:rsidRPr="000949A4">
        <w:rPr>
          <w:b/>
          <w:sz w:val="28"/>
          <w:szCs w:val="28"/>
        </w:rPr>
        <w:t xml:space="preserve">» </w:t>
      </w:r>
    </w:p>
    <w:p w:rsidR="00894049" w:rsidRPr="00924BF4" w:rsidRDefault="00894049" w:rsidP="00894049">
      <w:pPr>
        <w:ind w:firstLine="567"/>
        <w:jc w:val="center"/>
        <w:rPr>
          <w:b/>
          <w:sz w:val="28"/>
          <w:szCs w:val="28"/>
        </w:rPr>
      </w:pPr>
      <w:r w:rsidRPr="00924BF4">
        <w:rPr>
          <w:b/>
          <w:sz w:val="28"/>
          <w:szCs w:val="28"/>
        </w:rPr>
        <w:t xml:space="preserve"> (реєстр. № </w:t>
      </w:r>
      <w:r>
        <w:rPr>
          <w:b/>
          <w:sz w:val="28"/>
          <w:szCs w:val="28"/>
        </w:rPr>
        <w:t>5690</w:t>
      </w:r>
      <w:r w:rsidRPr="00924BF4">
        <w:rPr>
          <w:b/>
          <w:sz w:val="28"/>
          <w:szCs w:val="28"/>
        </w:rPr>
        <w:t xml:space="preserve"> від </w:t>
      </w:r>
      <w:r>
        <w:rPr>
          <w:b/>
          <w:sz w:val="28"/>
          <w:szCs w:val="28"/>
        </w:rPr>
        <w:t>20</w:t>
      </w:r>
      <w:r w:rsidRPr="000949A4">
        <w:rPr>
          <w:b/>
          <w:sz w:val="28"/>
          <w:szCs w:val="28"/>
        </w:rPr>
        <w:t>.</w:t>
      </w:r>
      <w:r>
        <w:rPr>
          <w:b/>
          <w:sz w:val="28"/>
          <w:szCs w:val="28"/>
        </w:rPr>
        <w:t>01</w:t>
      </w:r>
      <w:r w:rsidRPr="000949A4">
        <w:rPr>
          <w:b/>
          <w:sz w:val="28"/>
          <w:szCs w:val="28"/>
        </w:rPr>
        <w:t>.201</w:t>
      </w:r>
      <w:r>
        <w:rPr>
          <w:b/>
          <w:sz w:val="28"/>
          <w:szCs w:val="28"/>
        </w:rPr>
        <w:t>7</w:t>
      </w:r>
      <w:r w:rsidRPr="000949A4">
        <w:rPr>
          <w:b/>
          <w:sz w:val="28"/>
          <w:szCs w:val="28"/>
        </w:rPr>
        <w:t xml:space="preserve"> </w:t>
      </w:r>
      <w:r w:rsidRPr="00924BF4">
        <w:rPr>
          <w:b/>
          <w:sz w:val="28"/>
          <w:szCs w:val="28"/>
        </w:rPr>
        <w:t xml:space="preserve">р., </w:t>
      </w:r>
      <w:proofErr w:type="spellStart"/>
      <w:r>
        <w:rPr>
          <w:b/>
          <w:sz w:val="28"/>
          <w:szCs w:val="28"/>
        </w:rPr>
        <w:t>н.д</w:t>
      </w:r>
      <w:proofErr w:type="spellEnd"/>
      <w:r>
        <w:rPr>
          <w:b/>
          <w:sz w:val="28"/>
          <w:szCs w:val="28"/>
        </w:rPr>
        <w:t>. Ю. Шухевич</w:t>
      </w:r>
      <w:r w:rsidRPr="00924BF4">
        <w:rPr>
          <w:b/>
          <w:sz w:val="28"/>
          <w:szCs w:val="28"/>
        </w:rPr>
        <w:t>)</w:t>
      </w:r>
    </w:p>
    <w:p w:rsidR="00894049" w:rsidRDefault="00894049" w:rsidP="00894049">
      <w:pPr>
        <w:ind w:firstLine="567"/>
        <w:jc w:val="center"/>
        <w:rPr>
          <w:b/>
          <w:sz w:val="28"/>
          <w:szCs w:val="28"/>
        </w:rPr>
      </w:pPr>
      <w:r w:rsidRPr="00885C95">
        <w:rPr>
          <w:b/>
          <w:sz w:val="28"/>
          <w:szCs w:val="28"/>
        </w:rPr>
        <w:t xml:space="preserve"> </w:t>
      </w:r>
    </w:p>
    <w:p w:rsidR="00894049" w:rsidRPr="00924BF4" w:rsidRDefault="00894049" w:rsidP="00894049">
      <w:pPr>
        <w:numPr>
          <w:ilvl w:val="0"/>
          <w:numId w:val="1"/>
        </w:numPr>
        <w:autoSpaceDE/>
        <w:autoSpaceDN/>
        <w:jc w:val="both"/>
        <w:rPr>
          <w:b/>
          <w:bCs/>
          <w:sz w:val="28"/>
          <w:szCs w:val="28"/>
        </w:rPr>
      </w:pPr>
      <w:r w:rsidRPr="00924BF4">
        <w:rPr>
          <w:b/>
          <w:bCs/>
          <w:sz w:val="28"/>
          <w:szCs w:val="28"/>
        </w:rPr>
        <w:t>Загальна характеристика законопроекту.</w:t>
      </w:r>
    </w:p>
    <w:p w:rsidR="00DC3089" w:rsidRPr="009A0696" w:rsidRDefault="00DC3089" w:rsidP="00DC3089">
      <w:pPr>
        <w:pStyle w:val="1"/>
        <w:spacing w:before="120" w:after="120" w:line="240" w:lineRule="auto"/>
        <w:ind w:left="0" w:firstLine="567"/>
        <w:jc w:val="both"/>
        <w:rPr>
          <w:rFonts w:ascii="Times New Roman" w:eastAsia="Times New Roman" w:hAnsi="Times New Roman"/>
          <w:sz w:val="28"/>
          <w:szCs w:val="28"/>
          <w:lang w:val="uk-UA" w:eastAsia="ru-RU"/>
        </w:rPr>
      </w:pPr>
      <w:r w:rsidRPr="00974E25">
        <w:rPr>
          <w:rFonts w:ascii="Times New Roman" w:eastAsia="Times New Roman" w:hAnsi="Times New Roman"/>
          <w:sz w:val="28"/>
          <w:szCs w:val="28"/>
          <w:lang w:val="uk-UA" w:eastAsia="ru-RU"/>
        </w:rPr>
        <w:t>Проектом Закону пропонується внести зміни до статті 2</w:t>
      </w:r>
      <w:r w:rsidRPr="00974E25">
        <w:rPr>
          <w:rFonts w:ascii="Times New Roman" w:eastAsia="Times New Roman" w:hAnsi="Times New Roman"/>
          <w:sz w:val="28"/>
          <w:szCs w:val="28"/>
          <w:vertAlign w:val="superscript"/>
          <w:lang w:val="uk-UA" w:eastAsia="ru-RU"/>
        </w:rPr>
        <w:t>1</w:t>
      </w:r>
      <w:r w:rsidRPr="00974E25">
        <w:rPr>
          <w:rFonts w:ascii="Times New Roman" w:eastAsia="Times New Roman" w:hAnsi="Times New Roman"/>
          <w:sz w:val="28"/>
          <w:szCs w:val="28"/>
          <w:lang w:val="uk-UA" w:eastAsia="ru-RU"/>
        </w:rPr>
        <w:t xml:space="preserve"> Кодексу законів про працю України, доповнивши її положенням, яким передбачити, що у разі неможливості документального підтвердження наявності ознак дискримінації у сфері праці, підтвердження наявності цих ознак здійснюється в порядку окремого провадження відповідно до статей 256 – 259 Цивільного процесуального кодексу України.</w:t>
      </w:r>
    </w:p>
    <w:p w:rsidR="00894049" w:rsidRPr="00924BF4" w:rsidRDefault="00894049" w:rsidP="00894049">
      <w:pPr>
        <w:spacing w:before="60"/>
        <w:ind w:firstLine="567"/>
        <w:jc w:val="both"/>
        <w:rPr>
          <w:b/>
          <w:bCs/>
          <w:sz w:val="28"/>
          <w:szCs w:val="28"/>
        </w:rPr>
      </w:pPr>
      <w:r w:rsidRPr="00924BF4">
        <w:rPr>
          <w:rFonts w:eastAsia="Verdana"/>
          <w:b/>
          <w:bCs/>
          <w:sz w:val="28"/>
          <w:szCs w:val="28"/>
        </w:rPr>
        <w:t>2.  </w:t>
      </w:r>
      <w:r w:rsidRPr="00924BF4">
        <w:rPr>
          <w:b/>
          <w:bCs/>
          <w:sz w:val="28"/>
          <w:szCs w:val="28"/>
        </w:rPr>
        <w:t>Належність законопроекту за предметом правового регулювання до сфери дії права Європейського Союзу.</w:t>
      </w:r>
    </w:p>
    <w:p w:rsidR="00DC3089" w:rsidRPr="00DC3089" w:rsidRDefault="00DC3089" w:rsidP="00DC3089">
      <w:pPr>
        <w:pStyle w:val="1"/>
        <w:spacing w:before="120" w:after="120" w:line="240" w:lineRule="auto"/>
        <w:ind w:left="0" w:firstLine="720"/>
        <w:jc w:val="both"/>
        <w:rPr>
          <w:rFonts w:ascii="Times New Roman" w:hAnsi="Times New Roman"/>
          <w:color w:val="000000"/>
          <w:sz w:val="28"/>
          <w:szCs w:val="28"/>
          <w:lang w:val="uk-UA"/>
        </w:rPr>
      </w:pPr>
      <w:r w:rsidRPr="00DC3089">
        <w:rPr>
          <w:rFonts w:ascii="Times New Roman" w:hAnsi="Times New Roman"/>
          <w:color w:val="000000"/>
          <w:sz w:val="28"/>
          <w:szCs w:val="28"/>
          <w:lang w:val="uk-UA"/>
        </w:rPr>
        <w:t>Предмет правового регулювання законопроекту охоплюється положеннями глави 21 «Співробітництво у галузі зайнятості, соціальної політики та рівних можливостей» розділу V «Економічне та галузеве співробітництво» та Додатку XL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DC3089" w:rsidRPr="00DC3089" w:rsidRDefault="00DC3089" w:rsidP="00DC3089">
      <w:pPr>
        <w:pStyle w:val="1"/>
        <w:spacing w:before="120" w:after="0" w:line="240" w:lineRule="auto"/>
        <w:ind w:left="0" w:firstLine="720"/>
        <w:jc w:val="both"/>
        <w:rPr>
          <w:rFonts w:ascii="Times New Roman" w:hAnsi="Times New Roman"/>
          <w:color w:val="000000"/>
          <w:sz w:val="28"/>
          <w:szCs w:val="28"/>
          <w:lang w:val="uk-UA"/>
        </w:rPr>
      </w:pPr>
      <w:r w:rsidRPr="00DC3089">
        <w:rPr>
          <w:rFonts w:ascii="Times New Roman" w:hAnsi="Times New Roman"/>
          <w:color w:val="000000"/>
          <w:sz w:val="28"/>
          <w:szCs w:val="28"/>
          <w:lang w:val="uk-UA"/>
        </w:rPr>
        <w:t>Правовідносини, які є предметом правового регулювання законопроекту, в Європейському Союзі регулюються:</w:t>
      </w:r>
    </w:p>
    <w:p w:rsidR="00DC3089" w:rsidRDefault="00DC3089" w:rsidP="00DC3089">
      <w:pPr>
        <w:pStyle w:val="a8"/>
        <w:numPr>
          <w:ilvl w:val="0"/>
          <w:numId w:val="3"/>
        </w:numPr>
        <w:tabs>
          <w:tab w:val="left" w:pos="993"/>
        </w:tabs>
        <w:spacing w:after="120"/>
        <w:ind w:left="0" w:firstLine="720"/>
        <w:jc w:val="both"/>
      </w:pPr>
      <w:r w:rsidRPr="00DC3089">
        <w:rPr>
          <w:i/>
        </w:rPr>
        <w:t>Директивою Ради 2000/78/ЄС від 27 листопада 2000 року про встановлення загальної системи рівного ставлення у сфері зайнятості та професійної діяльності</w:t>
      </w:r>
      <w:r w:rsidRPr="00974E25">
        <w:t xml:space="preserve"> (</w:t>
      </w:r>
      <w:proofErr w:type="spellStart"/>
      <w:r w:rsidRPr="00974E25">
        <w:t>Official</w:t>
      </w:r>
      <w:proofErr w:type="spellEnd"/>
      <w:r w:rsidRPr="00974E25">
        <w:t xml:space="preserve"> </w:t>
      </w:r>
      <w:proofErr w:type="spellStart"/>
      <w:r w:rsidRPr="00974E25">
        <w:t>Journal</w:t>
      </w:r>
      <w:proofErr w:type="spellEnd"/>
      <w:r w:rsidRPr="00974E25">
        <w:t xml:space="preserve"> L 303, 02.12.2000, p. 16 – 22) (далі – Директива Ради 2000/78/ЄС);</w:t>
      </w:r>
    </w:p>
    <w:p w:rsidR="00DC3089" w:rsidRPr="00DC3089" w:rsidRDefault="00DC3089" w:rsidP="00DC3089">
      <w:pPr>
        <w:pStyle w:val="a8"/>
        <w:numPr>
          <w:ilvl w:val="0"/>
          <w:numId w:val="3"/>
        </w:numPr>
        <w:tabs>
          <w:tab w:val="left" w:pos="993"/>
        </w:tabs>
        <w:spacing w:before="120" w:after="120"/>
        <w:ind w:left="0" w:firstLine="720"/>
        <w:jc w:val="both"/>
      </w:pPr>
      <w:r w:rsidRPr="00DC3089">
        <w:rPr>
          <w:i/>
        </w:rPr>
        <w:t>Директивою Ради 2000/43/ЄС від 29 червня 2000 року про реалізацію принципу рівного ставлення незалежно від расової чи етнічної належності</w:t>
      </w:r>
      <w:r w:rsidRPr="00DC3089">
        <w:t xml:space="preserve"> (</w:t>
      </w:r>
      <w:proofErr w:type="spellStart"/>
      <w:r w:rsidRPr="00974E25">
        <w:t>Official</w:t>
      </w:r>
      <w:proofErr w:type="spellEnd"/>
      <w:r w:rsidRPr="00DC3089">
        <w:t xml:space="preserve"> </w:t>
      </w:r>
      <w:proofErr w:type="spellStart"/>
      <w:r w:rsidRPr="00974E25">
        <w:t>Journal</w:t>
      </w:r>
      <w:proofErr w:type="spellEnd"/>
      <w:r w:rsidRPr="00DC3089">
        <w:t xml:space="preserve"> </w:t>
      </w:r>
      <w:r w:rsidRPr="00974E25">
        <w:t>L</w:t>
      </w:r>
      <w:r w:rsidRPr="00DC3089">
        <w:t xml:space="preserve"> 180, 19.7.2000, </w:t>
      </w:r>
      <w:r w:rsidRPr="00974E25">
        <w:t>p</w:t>
      </w:r>
      <w:r w:rsidRPr="00DC3089">
        <w:t>. 22–26) (далі – Директива Ради 2000/43/ЄС).</w:t>
      </w:r>
    </w:p>
    <w:p w:rsidR="00894049" w:rsidRPr="00DF659D" w:rsidRDefault="00894049" w:rsidP="00894049">
      <w:pPr>
        <w:spacing w:before="360"/>
        <w:ind w:firstLine="567"/>
        <w:jc w:val="both"/>
        <w:rPr>
          <w:b/>
          <w:sz w:val="28"/>
          <w:szCs w:val="28"/>
        </w:rPr>
      </w:pPr>
      <w:r w:rsidRPr="00DF659D">
        <w:rPr>
          <w:rFonts w:eastAsia="Verdana"/>
          <w:b/>
          <w:bCs/>
          <w:sz w:val="28"/>
          <w:szCs w:val="28"/>
        </w:rPr>
        <w:t>3.  </w:t>
      </w:r>
      <w:r w:rsidRPr="00DF659D">
        <w:rPr>
          <w:b/>
          <w:sz w:val="28"/>
          <w:szCs w:val="28"/>
        </w:rPr>
        <w:t>Відповідність законопроекту праву ЄС.</w:t>
      </w:r>
    </w:p>
    <w:p w:rsidR="00DC3089" w:rsidRPr="00DC3089" w:rsidRDefault="00DC3089" w:rsidP="00DC3089">
      <w:pPr>
        <w:pStyle w:val="1"/>
        <w:spacing w:before="120" w:after="120" w:line="240" w:lineRule="auto"/>
        <w:ind w:left="0" w:firstLine="720"/>
        <w:jc w:val="both"/>
        <w:rPr>
          <w:rFonts w:ascii="Times New Roman" w:hAnsi="Times New Roman"/>
          <w:color w:val="000000"/>
          <w:sz w:val="28"/>
          <w:szCs w:val="28"/>
          <w:lang w:val="uk-UA"/>
        </w:rPr>
      </w:pPr>
      <w:r w:rsidRPr="00DC3089">
        <w:rPr>
          <w:rFonts w:ascii="Times New Roman" w:hAnsi="Times New Roman"/>
          <w:color w:val="000000"/>
          <w:sz w:val="28"/>
          <w:szCs w:val="28"/>
          <w:lang w:val="uk-UA"/>
        </w:rPr>
        <w:t xml:space="preserve">За результатами правового аналізу проекту Закону щодо його відповідності </w:t>
      </w:r>
      <w:proofErr w:type="spellStart"/>
      <w:r w:rsidRPr="00DC3089">
        <w:rPr>
          <w:rFonts w:ascii="Times New Roman" w:hAnsi="Times New Roman"/>
          <w:color w:val="000000"/>
          <w:sz w:val="28"/>
          <w:szCs w:val="28"/>
          <w:lang w:val="uk-UA"/>
        </w:rPr>
        <w:t>aquis</w:t>
      </w:r>
      <w:proofErr w:type="spellEnd"/>
      <w:r w:rsidRPr="00DC3089">
        <w:rPr>
          <w:rFonts w:ascii="Times New Roman" w:hAnsi="Times New Roman"/>
          <w:color w:val="000000"/>
          <w:sz w:val="28"/>
          <w:szCs w:val="28"/>
          <w:lang w:val="uk-UA"/>
        </w:rPr>
        <w:t xml:space="preserve"> ЄС та Угоді про асоціацію слід зазначити таке.</w:t>
      </w:r>
    </w:p>
    <w:p w:rsidR="00DC3089" w:rsidRPr="00DC3089" w:rsidRDefault="00DC3089" w:rsidP="00DC3089">
      <w:pPr>
        <w:pStyle w:val="1"/>
        <w:spacing w:before="120" w:after="120" w:line="240" w:lineRule="auto"/>
        <w:ind w:left="0" w:firstLine="720"/>
        <w:jc w:val="both"/>
        <w:rPr>
          <w:rFonts w:ascii="Times New Roman" w:hAnsi="Times New Roman"/>
          <w:color w:val="000000"/>
          <w:sz w:val="28"/>
          <w:szCs w:val="28"/>
          <w:lang w:val="uk-UA"/>
        </w:rPr>
      </w:pPr>
      <w:r w:rsidRPr="00DC3089">
        <w:rPr>
          <w:rFonts w:ascii="Times New Roman" w:hAnsi="Times New Roman"/>
          <w:color w:val="000000"/>
          <w:sz w:val="28"/>
          <w:szCs w:val="28"/>
          <w:lang w:val="uk-UA"/>
        </w:rPr>
        <w:t xml:space="preserve">Відповідно до положення пункту 15 преамбули Директиви Ради 2000/78/ЄС та положення пункту 15 преамбули Директиви Ради 2000/43/ЄС оцінка фактів, на підставі яких можна зробити висновок про те, чи мала місце пряма або опосередкована дискримінація, є питанням національних судових або інших компетентних органів, відповідно до норм національного законодавства або національної практики. Такі правила можуть передбачати, зокрема, те, що факт опосередкованої дискримінації може встановлюватися будь-якими способами, включаючи статистичні дані. </w:t>
      </w:r>
    </w:p>
    <w:p w:rsidR="00DC3089" w:rsidRPr="00DC3089" w:rsidRDefault="00DC3089" w:rsidP="00DC3089">
      <w:pPr>
        <w:pStyle w:val="1"/>
        <w:spacing w:before="120" w:after="120" w:line="240" w:lineRule="auto"/>
        <w:ind w:left="0" w:firstLine="720"/>
        <w:jc w:val="both"/>
        <w:rPr>
          <w:rFonts w:ascii="Times New Roman" w:hAnsi="Times New Roman"/>
          <w:color w:val="000000"/>
          <w:sz w:val="28"/>
          <w:szCs w:val="28"/>
          <w:lang w:val="uk-UA"/>
        </w:rPr>
      </w:pPr>
      <w:r w:rsidRPr="00DC3089">
        <w:rPr>
          <w:rFonts w:ascii="Times New Roman" w:hAnsi="Times New Roman"/>
          <w:color w:val="000000"/>
          <w:sz w:val="28"/>
          <w:szCs w:val="28"/>
          <w:lang w:val="uk-UA"/>
        </w:rPr>
        <w:lastRenderedPageBreak/>
        <w:t xml:space="preserve">Крім того, згідно з пунктами 20 і 21 преамбули Директиви Ради 2000/43/ЄС та пунктами 30 і 31 преамбули Директиви Ради 2000/78/ЄС ефективне застосування принципу рівності вимагає адекватного судового захисту проти </w:t>
      </w:r>
      <w:proofErr w:type="spellStart"/>
      <w:r w:rsidRPr="00DC3089">
        <w:rPr>
          <w:rFonts w:ascii="Times New Roman" w:hAnsi="Times New Roman"/>
          <w:color w:val="000000"/>
          <w:sz w:val="28"/>
          <w:szCs w:val="28"/>
          <w:lang w:val="uk-UA"/>
        </w:rPr>
        <w:t>віктимізації</w:t>
      </w:r>
      <w:proofErr w:type="spellEnd"/>
      <w:r w:rsidRPr="00DC3089">
        <w:rPr>
          <w:rFonts w:ascii="Times New Roman" w:hAnsi="Times New Roman"/>
          <w:color w:val="000000"/>
          <w:sz w:val="28"/>
          <w:szCs w:val="28"/>
          <w:lang w:val="uk-UA"/>
        </w:rPr>
        <w:t xml:space="preserve">. Правила щодо тягаря доказування повинні бути пристосовані до тих випадків, коли наявні достатньо серйозні докази дискримінації, і, для ефективного застосування принципу рівного поводження, тягар доказування повинен бути покладений на відповідача, якщо надано доказ такої дискримінації. </w:t>
      </w:r>
    </w:p>
    <w:p w:rsidR="00DC3089" w:rsidRPr="00DC3089" w:rsidRDefault="00DC3089" w:rsidP="00DC3089">
      <w:pPr>
        <w:pStyle w:val="1"/>
        <w:spacing w:before="120" w:after="120" w:line="240" w:lineRule="auto"/>
        <w:ind w:left="0" w:firstLine="720"/>
        <w:jc w:val="both"/>
        <w:rPr>
          <w:rFonts w:ascii="Times New Roman" w:hAnsi="Times New Roman"/>
          <w:color w:val="000000"/>
          <w:sz w:val="28"/>
          <w:szCs w:val="28"/>
          <w:lang w:val="uk-UA"/>
        </w:rPr>
      </w:pPr>
      <w:r w:rsidRPr="00DC3089">
        <w:rPr>
          <w:rFonts w:ascii="Times New Roman" w:hAnsi="Times New Roman"/>
          <w:color w:val="000000"/>
          <w:sz w:val="28"/>
          <w:szCs w:val="28"/>
          <w:lang w:val="uk-UA"/>
        </w:rPr>
        <w:t xml:space="preserve">Як вбачається з вищенаведеного, </w:t>
      </w:r>
      <w:r w:rsidRPr="009521A5">
        <w:rPr>
          <w:rFonts w:ascii="Times New Roman" w:hAnsi="Times New Roman"/>
          <w:color w:val="000000"/>
          <w:sz w:val="28"/>
          <w:szCs w:val="28"/>
          <w:u w:val="single"/>
          <w:lang w:val="uk-UA"/>
        </w:rPr>
        <w:t>положення Директиви Ради 2000/78/ЄС та Директиви Ради 2000/43/ЄС передбачають не лише судовий порядок розгляду справ щодо дискримінації у сфері праці, але також наявність у справі відповідача і змагальність сторін.</w:t>
      </w:r>
      <w:r w:rsidRPr="00DC3089">
        <w:rPr>
          <w:rFonts w:ascii="Times New Roman" w:hAnsi="Times New Roman"/>
          <w:color w:val="000000"/>
          <w:sz w:val="28"/>
          <w:szCs w:val="28"/>
          <w:lang w:val="uk-UA"/>
        </w:rPr>
        <w:t xml:space="preserve"> Частиною першою статті 60 ЦПК України також передбачено, що у справах про дискримінацію позивач зобов’язаний навести фактичні дані, які підтверджують, що дискримінація мала місце. У разі наведення таких даних доказування їх відсутності покладається на відповідача.</w:t>
      </w:r>
    </w:p>
    <w:p w:rsidR="003F7F71" w:rsidRDefault="00DC3089" w:rsidP="00DC3089">
      <w:pPr>
        <w:pStyle w:val="1"/>
        <w:spacing w:before="120" w:after="120" w:line="240" w:lineRule="auto"/>
        <w:ind w:left="0" w:firstLine="720"/>
        <w:jc w:val="both"/>
        <w:rPr>
          <w:rFonts w:ascii="Times New Roman" w:hAnsi="Times New Roman"/>
          <w:color w:val="000000"/>
          <w:sz w:val="28"/>
          <w:szCs w:val="28"/>
          <w:lang w:val="uk-UA"/>
        </w:rPr>
      </w:pPr>
      <w:r w:rsidRPr="00DC3089">
        <w:rPr>
          <w:rFonts w:ascii="Times New Roman" w:hAnsi="Times New Roman"/>
          <w:color w:val="000000"/>
          <w:sz w:val="28"/>
          <w:szCs w:val="28"/>
          <w:lang w:val="uk-UA"/>
        </w:rPr>
        <w:t>Натомість, в справах окремого провадження завданням суду є охорона інтересів заявника шляхом підтвердження наявності або відсутності юридичних фактів або неоспорюваних прав. Для таких справ характерною є відсутність спору про суб’єктивне право та відсутність відповідача, оскільки згідно з частиною четвертою статті 235 ЦПК України справи окремого провадження суд розглядає за участю заявника і заінтересованих осіб. Також з огляду на те, що в окремому провадженні відсутні сторони із протилежними матеріально-правовими інтересами, принцип змагальності в повній мірі не застосовується.</w:t>
      </w:r>
    </w:p>
    <w:p w:rsidR="00DC3089" w:rsidRPr="00DC3089" w:rsidRDefault="00DC3089" w:rsidP="00DC3089">
      <w:pPr>
        <w:pStyle w:val="1"/>
        <w:spacing w:before="120" w:after="120" w:line="240" w:lineRule="auto"/>
        <w:ind w:left="0" w:firstLine="720"/>
        <w:jc w:val="both"/>
        <w:rPr>
          <w:rFonts w:ascii="Times New Roman" w:hAnsi="Times New Roman"/>
          <w:color w:val="000000"/>
          <w:sz w:val="28"/>
          <w:szCs w:val="28"/>
          <w:lang w:val="uk-UA"/>
        </w:rPr>
      </w:pPr>
      <w:r w:rsidRPr="00DC3089">
        <w:rPr>
          <w:rFonts w:ascii="Times New Roman" w:hAnsi="Times New Roman"/>
          <w:color w:val="000000"/>
          <w:sz w:val="28"/>
          <w:szCs w:val="28"/>
          <w:lang w:val="uk-UA"/>
        </w:rPr>
        <w:t>Враховуючи все вищевикладене, даний законопроект не може бути підтриманий</w:t>
      </w:r>
      <w:r>
        <w:rPr>
          <w:rFonts w:ascii="Times New Roman" w:hAnsi="Times New Roman"/>
          <w:color w:val="000000"/>
          <w:sz w:val="28"/>
          <w:szCs w:val="28"/>
          <w:lang w:val="uk-UA"/>
        </w:rPr>
        <w:t xml:space="preserve">, як такий, що не відповідає праву європейського Союзу та </w:t>
      </w:r>
      <w:r w:rsidRPr="00DC3089">
        <w:rPr>
          <w:rFonts w:ascii="Times New Roman" w:hAnsi="Times New Roman"/>
          <w:color w:val="000000"/>
          <w:sz w:val="28"/>
          <w:szCs w:val="28"/>
          <w:lang w:val="uk-UA"/>
        </w:rPr>
        <w:t>зобов’язанням України відповідно до Угоди про асоціацію.</w:t>
      </w:r>
    </w:p>
    <w:p w:rsidR="00894049" w:rsidRPr="00EF22F1" w:rsidRDefault="00894049" w:rsidP="00894049">
      <w:pPr>
        <w:spacing w:line="276" w:lineRule="auto"/>
        <w:ind w:firstLine="567"/>
        <w:jc w:val="both"/>
        <w:rPr>
          <w:bCs/>
          <w:sz w:val="28"/>
          <w:szCs w:val="28"/>
        </w:rPr>
      </w:pPr>
      <w:r w:rsidRPr="00EF22F1">
        <w:rPr>
          <w:sz w:val="28"/>
          <w:szCs w:val="28"/>
        </w:rPr>
        <w:t xml:space="preserve"> </w:t>
      </w:r>
      <w:r w:rsidRPr="00EF22F1">
        <w:rPr>
          <w:rFonts w:eastAsia="Verdana"/>
          <w:b/>
          <w:bCs/>
          <w:sz w:val="28"/>
          <w:szCs w:val="28"/>
        </w:rPr>
        <w:t>4.</w:t>
      </w:r>
      <w:r w:rsidRPr="00EF22F1">
        <w:rPr>
          <w:rFonts w:eastAsia="Verdana"/>
          <w:bCs/>
          <w:sz w:val="28"/>
          <w:szCs w:val="28"/>
        </w:rPr>
        <w:t>   </w:t>
      </w:r>
      <w:r w:rsidRPr="00EF22F1">
        <w:rPr>
          <w:b/>
          <w:sz w:val="28"/>
          <w:szCs w:val="28"/>
        </w:rPr>
        <w:t xml:space="preserve">Висновок Комітету з питань європейської інтеграції. </w:t>
      </w:r>
    </w:p>
    <w:p w:rsidR="00894049" w:rsidRDefault="00894049" w:rsidP="00894049">
      <w:pPr>
        <w:spacing w:before="120"/>
        <w:ind w:firstLine="567"/>
        <w:jc w:val="both"/>
        <w:rPr>
          <w:rFonts w:eastAsia="MS Mincho"/>
          <w:sz w:val="28"/>
          <w:szCs w:val="28"/>
          <w:lang w:eastAsia="en-US"/>
        </w:rPr>
      </w:pPr>
      <w:r w:rsidRPr="00EF22F1">
        <w:rPr>
          <w:rFonts w:eastAsia="MS Mincho"/>
          <w:sz w:val="28"/>
          <w:szCs w:val="28"/>
          <w:lang w:eastAsia="en-US"/>
        </w:rPr>
        <w:t xml:space="preserve">Проект Закону не </w:t>
      </w:r>
      <w:r w:rsidR="00DC3089">
        <w:rPr>
          <w:rFonts w:eastAsia="MS Mincho"/>
          <w:sz w:val="28"/>
          <w:szCs w:val="28"/>
          <w:lang w:eastAsia="en-US"/>
        </w:rPr>
        <w:t>відповідає</w:t>
      </w:r>
      <w:r w:rsidRPr="00EF22F1">
        <w:rPr>
          <w:rFonts w:eastAsia="MS Mincho"/>
          <w:sz w:val="28"/>
          <w:szCs w:val="28"/>
          <w:lang w:eastAsia="en-US"/>
        </w:rPr>
        <w:t xml:space="preserve"> праву </w:t>
      </w:r>
      <w:r w:rsidRPr="00885C95">
        <w:rPr>
          <w:rFonts w:eastAsia="MS Mincho"/>
          <w:sz w:val="28"/>
          <w:szCs w:val="28"/>
          <w:lang w:eastAsia="en-US"/>
        </w:rPr>
        <w:t>Європейського Союзу</w:t>
      </w:r>
      <w:r w:rsidRPr="00EF22F1">
        <w:rPr>
          <w:rFonts w:eastAsia="MS Mincho"/>
          <w:sz w:val="28"/>
          <w:szCs w:val="28"/>
          <w:lang w:eastAsia="en-US"/>
        </w:rPr>
        <w:t>.</w:t>
      </w:r>
      <w:r>
        <w:rPr>
          <w:rFonts w:eastAsia="MS Mincho"/>
          <w:sz w:val="28"/>
          <w:szCs w:val="28"/>
          <w:lang w:eastAsia="en-US"/>
        </w:rPr>
        <w:t xml:space="preserve"> </w:t>
      </w:r>
      <w:bookmarkStart w:id="0" w:name="_GoBack"/>
      <w:bookmarkEnd w:id="0"/>
    </w:p>
    <w:sectPr w:rsidR="00894049" w:rsidSect="00666A7B">
      <w:footerReference w:type="default" r:id="rId7"/>
      <w:pgSz w:w="11906" w:h="16838"/>
      <w:pgMar w:top="993" w:right="849" w:bottom="993"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67A" w:rsidRDefault="00E9767A" w:rsidP="00DC3089">
      <w:r>
        <w:separator/>
      </w:r>
    </w:p>
  </w:endnote>
  <w:endnote w:type="continuationSeparator" w:id="0">
    <w:p w:rsidR="00E9767A" w:rsidRDefault="00E9767A" w:rsidP="00DC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665815"/>
      <w:docPartObj>
        <w:docPartGallery w:val="Page Numbers (Bottom of Page)"/>
        <w:docPartUnique/>
      </w:docPartObj>
    </w:sdtPr>
    <w:sdtEndPr>
      <w:rPr>
        <w:sz w:val="24"/>
        <w:szCs w:val="24"/>
      </w:rPr>
    </w:sdtEndPr>
    <w:sdtContent>
      <w:p w:rsidR="00C0480A" w:rsidRPr="00C0480A" w:rsidRDefault="00C0480A">
        <w:pPr>
          <w:pStyle w:val="a3"/>
          <w:jc w:val="center"/>
          <w:rPr>
            <w:sz w:val="24"/>
            <w:szCs w:val="24"/>
          </w:rPr>
        </w:pPr>
        <w:r w:rsidRPr="00C0480A">
          <w:rPr>
            <w:sz w:val="24"/>
            <w:szCs w:val="24"/>
          </w:rPr>
          <w:fldChar w:fldCharType="begin"/>
        </w:r>
        <w:r w:rsidRPr="00C0480A">
          <w:rPr>
            <w:sz w:val="24"/>
            <w:szCs w:val="24"/>
          </w:rPr>
          <w:instrText>PAGE   \* MERGEFORMAT</w:instrText>
        </w:r>
        <w:r w:rsidRPr="00C0480A">
          <w:rPr>
            <w:sz w:val="24"/>
            <w:szCs w:val="24"/>
          </w:rPr>
          <w:fldChar w:fldCharType="separate"/>
        </w:r>
        <w:r w:rsidR="00133D6D">
          <w:rPr>
            <w:noProof/>
            <w:sz w:val="24"/>
            <w:szCs w:val="24"/>
          </w:rPr>
          <w:t>2</w:t>
        </w:r>
        <w:r w:rsidRPr="00C0480A">
          <w:rPr>
            <w:sz w:val="24"/>
            <w:szCs w:val="24"/>
          </w:rPr>
          <w:fldChar w:fldCharType="end"/>
        </w:r>
      </w:p>
    </w:sdtContent>
  </w:sdt>
  <w:p w:rsidR="00083DD0" w:rsidRPr="00DC3089" w:rsidRDefault="00E9767A" w:rsidP="00DC308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67A" w:rsidRDefault="00E9767A" w:rsidP="00DC3089">
      <w:r>
        <w:separator/>
      </w:r>
    </w:p>
  </w:footnote>
  <w:footnote w:type="continuationSeparator" w:id="0">
    <w:p w:rsidR="00E9767A" w:rsidRDefault="00E9767A" w:rsidP="00DC3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113BE"/>
    <w:multiLevelType w:val="hybridMultilevel"/>
    <w:tmpl w:val="7FFE9EDC"/>
    <w:lvl w:ilvl="0" w:tplc="47B8B572">
      <w:start w:val="1"/>
      <w:numFmt w:val="decimal"/>
      <w:lvlText w:val="%1."/>
      <w:lvlJc w:val="left"/>
      <w:pPr>
        <w:tabs>
          <w:tab w:val="num" w:pos="927"/>
        </w:tabs>
        <w:ind w:left="927" w:hanging="360"/>
      </w:pPr>
      <w:rPr>
        <w:rFonts w:eastAsia="Verdan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4077867"/>
    <w:multiLevelType w:val="hybridMultilevel"/>
    <w:tmpl w:val="983481F4"/>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3D761D7F"/>
    <w:multiLevelType w:val="hybridMultilevel"/>
    <w:tmpl w:val="8F7E7FC8"/>
    <w:lvl w:ilvl="0" w:tplc="0E94C88C">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049"/>
    <w:rsid w:val="00133D6D"/>
    <w:rsid w:val="00143434"/>
    <w:rsid w:val="00173948"/>
    <w:rsid w:val="00202C4A"/>
    <w:rsid w:val="002A757B"/>
    <w:rsid w:val="002D2F10"/>
    <w:rsid w:val="003F7F71"/>
    <w:rsid w:val="004C1336"/>
    <w:rsid w:val="00667D67"/>
    <w:rsid w:val="007C3402"/>
    <w:rsid w:val="00894049"/>
    <w:rsid w:val="009521A5"/>
    <w:rsid w:val="00A177E1"/>
    <w:rsid w:val="00B6095F"/>
    <w:rsid w:val="00B65FFB"/>
    <w:rsid w:val="00C0480A"/>
    <w:rsid w:val="00CF1D55"/>
    <w:rsid w:val="00D94335"/>
    <w:rsid w:val="00DB3E8E"/>
    <w:rsid w:val="00DC3089"/>
    <w:rsid w:val="00E64CF5"/>
    <w:rsid w:val="00E9767A"/>
    <w:rsid w:val="00FC07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049"/>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894049"/>
    <w:pPr>
      <w:autoSpaceDE/>
      <w:autoSpaceDN/>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uiPriority w:val="99"/>
    <w:rsid w:val="00894049"/>
    <w:pPr>
      <w:tabs>
        <w:tab w:val="center" w:pos="4819"/>
        <w:tab w:val="right" w:pos="9639"/>
      </w:tabs>
    </w:pPr>
  </w:style>
  <w:style w:type="character" w:customStyle="1" w:styleId="a4">
    <w:name w:val="Нижній колонтитул Знак"/>
    <w:basedOn w:val="a0"/>
    <w:link w:val="a3"/>
    <w:uiPriority w:val="99"/>
    <w:rsid w:val="00894049"/>
    <w:rPr>
      <w:rFonts w:ascii="Times New Roman" w:eastAsia="Times New Roman" w:hAnsi="Times New Roman" w:cs="Times New Roman"/>
      <w:sz w:val="20"/>
      <w:szCs w:val="20"/>
      <w:lang w:eastAsia="ru-RU"/>
    </w:rPr>
  </w:style>
  <w:style w:type="character" w:styleId="a5">
    <w:name w:val="page number"/>
    <w:rsid w:val="00894049"/>
  </w:style>
  <w:style w:type="paragraph" w:styleId="a6">
    <w:name w:val="header"/>
    <w:basedOn w:val="a"/>
    <w:link w:val="a7"/>
    <w:uiPriority w:val="99"/>
    <w:unhideWhenUsed/>
    <w:rsid w:val="00DC3089"/>
    <w:pPr>
      <w:tabs>
        <w:tab w:val="center" w:pos="4819"/>
        <w:tab w:val="right" w:pos="9639"/>
      </w:tabs>
    </w:pPr>
  </w:style>
  <w:style w:type="character" w:customStyle="1" w:styleId="a7">
    <w:name w:val="Верхній колонтитул Знак"/>
    <w:basedOn w:val="a0"/>
    <w:link w:val="a6"/>
    <w:uiPriority w:val="99"/>
    <w:rsid w:val="00DC3089"/>
    <w:rPr>
      <w:rFonts w:ascii="Times New Roman" w:eastAsia="Times New Roman" w:hAnsi="Times New Roman" w:cs="Times New Roman"/>
      <w:sz w:val="20"/>
      <w:szCs w:val="20"/>
      <w:lang w:eastAsia="ru-RU"/>
    </w:rPr>
  </w:style>
  <w:style w:type="paragraph" w:styleId="a8">
    <w:name w:val="List Paragraph"/>
    <w:basedOn w:val="a"/>
    <w:uiPriority w:val="34"/>
    <w:qFormat/>
    <w:rsid w:val="00DC3089"/>
    <w:pPr>
      <w:autoSpaceDE/>
      <w:autoSpaceDN/>
      <w:ind w:left="720"/>
      <w:contextualSpacing/>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2821</Words>
  <Characters>1609</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2017-04-18T11:39:00Z</dcterms:created>
  <dcterms:modified xsi:type="dcterms:W3CDTF">2017-11-13T11:47:00Z</dcterms:modified>
</cp:coreProperties>
</file>