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Pr="00763B71" w:rsidRDefault="00263F2F" w:rsidP="00263F2F">
      <w:pPr>
        <w:jc w:val="center"/>
        <w:rPr>
          <w:b/>
          <w:sz w:val="28"/>
          <w:szCs w:val="28"/>
          <w:lang w:val="en-US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CC392A" w:rsidRDefault="00CC392A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D02269" w:rsidRDefault="00D02269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7818E1">
        <w:rPr>
          <w:rFonts w:ascii="Arial" w:hAnsi="Arial" w:cs="Arial"/>
          <w:sz w:val="22"/>
          <w:szCs w:val="22"/>
        </w:rPr>
        <w:t xml:space="preserve">Закону </w:t>
      </w:r>
      <w:r w:rsidR="00FC2C4E" w:rsidRPr="00FC2C4E">
        <w:rPr>
          <w:rFonts w:ascii="Arial" w:hAnsi="Arial" w:cs="Arial"/>
          <w:sz w:val="22"/>
          <w:szCs w:val="22"/>
        </w:rPr>
        <w:t>про внесення змін до деяких законодавчих актів України щодо встановлення кримінальної відповідальності за невиконання Президентом України, народними депутатами України, депутатами місцевих рад, сільськими, селищними, міськими головами передвиборної програми</w:t>
      </w:r>
      <w:r w:rsidR="005961C4">
        <w:rPr>
          <w:rFonts w:ascii="Arial" w:hAnsi="Arial" w:cs="Arial"/>
          <w:sz w:val="22"/>
          <w:szCs w:val="22"/>
        </w:rPr>
        <w:t>.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CC392A">
        <w:rPr>
          <w:rFonts w:ascii="Arial" w:hAnsi="Arial" w:cs="Arial"/>
          <w:sz w:val="22"/>
          <w:szCs w:val="22"/>
        </w:rPr>
        <w:t>60</w:t>
      </w:r>
      <w:r w:rsidR="00FC2C4E">
        <w:rPr>
          <w:rFonts w:ascii="Arial" w:hAnsi="Arial" w:cs="Arial"/>
          <w:sz w:val="22"/>
          <w:szCs w:val="22"/>
        </w:rPr>
        <w:t>78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FC2C4E">
        <w:rPr>
          <w:rFonts w:ascii="Arial" w:hAnsi="Arial" w:cs="Arial"/>
          <w:sz w:val="22"/>
          <w:szCs w:val="22"/>
        </w:rPr>
        <w:t>13</w:t>
      </w:r>
      <w:r w:rsidR="001C3656">
        <w:rPr>
          <w:rFonts w:ascii="Arial" w:hAnsi="Arial" w:cs="Arial"/>
          <w:sz w:val="22"/>
          <w:szCs w:val="22"/>
        </w:rPr>
        <w:t xml:space="preserve"> лютого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CC392A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FC2C4E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FC2C4E">
        <w:rPr>
          <w:rFonts w:ascii="Arial" w:hAnsi="Arial" w:cs="Arial"/>
          <w:sz w:val="22"/>
          <w:szCs w:val="22"/>
        </w:rPr>
        <w:t>ий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 xml:space="preserve">депутат України </w:t>
      </w:r>
      <w:proofErr w:type="spellStart"/>
      <w:r w:rsidR="00FC2C4E">
        <w:rPr>
          <w:rFonts w:ascii="Arial" w:hAnsi="Arial" w:cs="Arial"/>
          <w:sz w:val="22"/>
          <w:szCs w:val="22"/>
        </w:rPr>
        <w:t>Рабінович</w:t>
      </w:r>
      <w:proofErr w:type="spellEnd"/>
      <w:r w:rsidR="00FC2C4E">
        <w:rPr>
          <w:rFonts w:ascii="Arial" w:hAnsi="Arial" w:cs="Arial"/>
          <w:sz w:val="22"/>
          <w:szCs w:val="22"/>
        </w:rPr>
        <w:t xml:space="preserve"> В.З.</w:t>
      </w:r>
    </w:p>
    <w:p w:rsidR="00263F2F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744588" w:rsidRPr="00744588">
        <w:rPr>
          <w:rFonts w:ascii="Arial" w:hAnsi="Arial" w:cs="Arial"/>
          <w:sz w:val="22"/>
          <w:szCs w:val="22"/>
        </w:rPr>
        <w:t xml:space="preserve">з питань </w:t>
      </w:r>
      <w:r w:rsidR="00FC2C4E">
        <w:rPr>
          <w:rFonts w:ascii="Arial" w:hAnsi="Arial" w:cs="Arial"/>
          <w:sz w:val="22"/>
          <w:szCs w:val="22"/>
        </w:rPr>
        <w:t>законодавчого забезпечення правоохоронної діяльності</w:t>
      </w:r>
      <w:r w:rsidR="005961C4">
        <w:rPr>
          <w:rFonts w:ascii="Arial" w:hAnsi="Arial" w:cs="Arial"/>
          <w:sz w:val="22"/>
          <w:szCs w:val="22"/>
        </w:rPr>
        <w:t>.</w:t>
      </w:r>
    </w:p>
    <w:p w:rsidR="00674348" w:rsidRPr="00A03452" w:rsidRDefault="00674348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</w:p>
    <w:p w:rsidR="006B4E2C" w:rsidRPr="005E2951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5E2951">
        <w:rPr>
          <w:sz w:val="28"/>
          <w:szCs w:val="28"/>
        </w:rPr>
        <w:t xml:space="preserve">У проекті акта не виявлено корупціогенних факторів – проект акта відповідає вимогам антикорупційного законодавства </w:t>
      </w:r>
      <w:r w:rsidR="006A6205" w:rsidRPr="005E2951">
        <w:rPr>
          <w:sz w:val="28"/>
          <w:szCs w:val="28"/>
        </w:rPr>
        <w:t>(</w:t>
      </w:r>
      <w:r w:rsidR="005011A6" w:rsidRPr="005011A6">
        <w:rPr>
          <w:sz w:val="28"/>
          <w:szCs w:val="28"/>
        </w:rPr>
        <w:t>рішення Комітету від 06.09.2017, протокол № 109</w:t>
      </w:r>
      <w:r w:rsidR="006A6205" w:rsidRPr="005E2951">
        <w:rPr>
          <w:sz w:val="28"/>
          <w:szCs w:val="28"/>
        </w:rPr>
        <w:t>).</w:t>
      </w:r>
    </w:p>
    <w:p w:rsidR="00263F2F" w:rsidRPr="005E2951" w:rsidRDefault="00263F2F" w:rsidP="00263F2F">
      <w:pPr>
        <w:ind w:firstLine="708"/>
        <w:jc w:val="both"/>
        <w:rPr>
          <w:sz w:val="28"/>
          <w:szCs w:val="28"/>
        </w:rPr>
      </w:pPr>
    </w:p>
    <w:p w:rsidR="00C34DFC" w:rsidRPr="00C34DFC" w:rsidRDefault="00C34DFC" w:rsidP="00C34DFC">
      <w:pPr>
        <w:ind w:firstLine="567"/>
        <w:jc w:val="both"/>
        <w:rPr>
          <w:sz w:val="28"/>
          <w:szCs w:val="28"/>
        </w:rPr>
      </w:pPr>
      <w:r w:rsidRPr="00C34DFC">
        <w:rPr>
          <w:sz w:val="28"/>
          <w:szCs w:val="28"/>
        </w:rPr>
        <w:t>Проектом закону встановлюється кримінальна відповідальність за невиконання передвиборної програми Президентом України і народними депутатами України, депутатами місцевих рад, сільськими, селищними, міськими головами (далі – передвиборна програма). Передбачається санкція у вигляді позбавлення волі від 5 до 8 років.</w:t>
      </w:r>
    </w:p>
    <w:p w:rsidR="00C34DFC" w:rsidRPr="00C34DFC" w:rsidRDefault="00C34DFC" w:rsidP="00C34DFC">
      <w:pPr>
        <w:ind w:firstLine="567"/>
        <w:jc w:val="both"/>
        <w:rPr>
          <w:sz w:val="28"/>
          <w:szCs w:val="28"/>
        </w:rPr>
      </w:pPr>
      <w:r w:rsidRPr="00C34DFC">
        <w:rPr>
          <w:sz w:val="28"/>
          <w:szCs w:val="28"/>
        </w:rPr>
        <w:t>Закріплюється поняття передвиборної програми кандидата на пост Президента України, партії, кандидата у народні депутати України в одномандатному окрузі та визначається, що вона складається з переліку конкретних дій кандидатів в народні депутати України, висунутих від партії у загальнодержавному окрузі, кандидата у народні депутати України в одномандатному окрузі та строків їх виконання, і є  зобов’язанням  кандидата перед виборцями.</w:t>
      </w:r>
    </w:p>
    <w:p w:rsidR="00C34DFC" w:rsidRPr="00C34DFC" w:rsidRDefault="00C34DFC" w:rsidP="00C34DFC">
      <w:pPr>
        <w:ind w:firstLine="567"/>
        <w:jc w:val="both"/>
        <w:rPr>
          <w:sz w:val="28"/>
          <w:szCs w:val="28"/>
        </w:rPr>
      </w:pPr>
      <w:r w:rsidRPr="00C34DFC">
        <w:rPr>
          <w:sz w:val="28"/>
          <w:szCs w:val="28"/>
        </w:rPr>
        <w:t>Центральна виборча комісія відмовляє в реєстрації кандидата у депутати в разі неподання передвиборної програми або подання її з помилками.</w:t>
      </w:r>
    </w:p>
    <w:p w:rsidR="00C34DFC" w:rsidRPr="00C34DFC" w:rsidRDefault="00C34DFC" w:rsidP="00C34DFC">
      <w:pPr>
        <w:ind w:firstLine="567"/>
        <w:jc w:val="both"/>
        <w:rPr>
          <w:sz w:val="28"/>
          <w:szCs w:val="28"/>
        </w:rPr>
      </w:pPr>
    </w:p>
    <w:p w:rsidR="00C34DFC" w:rsidRPr="00C34DFC" w:rsidRDefault="00C34DFC" w:rsidP="00C34DFC">
      <w:pPr>
        <w:ind w:firstLine="567"/>
        <w:jc w:val="both"/>
        <w:rPr>
          <w:sz w:val="28"/>
          <w:szCs w:val="28"/>
        </w:rPr>
      </w:pPr>
      <w:bookmarkStart w:id="0" w:name="_GoBack"/>
      <w:bookmarkEnd w:id="0"/>
      <w:r w:rsidRPr="00C34DFC">
        <w:rPr>
          <w:sz w:val="28"/>
          <w:szCs w:val="28"/>
        </w:rPr>
        <w:t xml:space="preserve">1. </w:t>
      </w:r>
      <w:r>
        <w:rPr>
          <w:sz w:val="28"/>
          <w:szCs w:val="28"/>
        </w:rPr>
        <w:t>З</w:t>
      </w:r>
      <w:r w:rsidRPr="00C34DFC">
        <w:rPr>
          <w:sz w:val="28"/>
          <w:szCs w:val="28"/>
        </w:rPr>
        <w:t xml:space="preserve">апровадження кримінальної відповідальності за невиконання передвиборної програми є підставою для політичної відповідальності, а не </w:t>
      </w:r>
      <w:r w:rsidRPr="00C34DFC">
        <w:rPr>
          <w:sz w:val="28"/>
          <w:szCs w:val="28"/>
        </w:rPr>
        <w:lastRenderedPageBreak/>
        <w:t>кримінальної. Тому, запропоновані законопроектом положення є недоцільними.</w:t>
      </w:r>
    </w:p>
    <w:p w:rsidR="00C34DFC" w:rsidRPr="00C34DFC" w:rsidRDefault="00C34DFC" w:rsidP="00C34D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C34DFC">
        <w:rPr>
          <w:sz w:val="28"/>
          <w:szCs w:val="28"/>
        </w:rPr>
        <w:t>аявність оціночних понять у визначенні передвиборної програми (актуальні проблеми у внутрішній та зовнішній політиці), що може призвести до неоднозначності їх тлумачення при вирішенні питання про виконання/невиконання такої передвиборної програми.</w:t>
      </w:r>
    </w:p>
    <w:p w:rsidR="00C34DFC" w:rsidRPr="00C34DFC" w:rsidRDefault="00C34DFC" w:rsidP="00C34DFC">
      <w:pPr>
        <w:ind w:firstLine="567"/>
        <w:jc w:val="both"/>
        <w:rPr>
          <w:sz w:val="28"/>
          <w:szCs w:val="28"/>
        </w:rPr>
      </w:pPr>
      <w:r w:rsidRPr="00C34DFC">
        <w:rPr>
          <w:sz w:val="28"/>
          <w:szCs w:val="28"/>
        </w:rPr>
        <w:t xml:space="preserve">2. </w:t>
      </w:r>
      <w:r>
        <w:rPr>
          <w:sz w:val="28"/>
          <w:szCs w:val="28"/>
        </w:rPr>
        <w:t>Зап</w:t>
      </w:r>
      <w:r w:rsidRPr="00C34DFC">
        <w:rPr>
          <w:sz w:val="28"/>
          <w:szCs w:val="28"/>
        </w:rPr>
        <w:t>ропоновані доповнення ст. 160-1 КК України не відповідають положенням теорії кримінального права (щодо встановлення родового і безпосереднього об’єктів складу злочину), а також містять суперечливу термінологію, що використовується в диспозиції аналізованої статті:</w:t>
      </w:r>
    </w:p>
    <w:p w:rsidR="00C34DFC" w:rsidRPr="00C34DFC" w:rsidRDefault="00C34DFC" w:rsidP="00C34DFC">
      <w:pPr>
        <w:ind w:firstLine="567"/>
        <w:jc w:val="both"/>
        <w:rPr>
          <w:sz w:val="28"/>
          <w:szCs w:val="28"/>
        </w:rPr>
      </w:pPr>
      <w:r w:rsidRPr="00C34DFC">
        <w:rPr>
          <w:sz w:val="28"/>
          <w:szCs w:val="28"/>
        </w:rPr>
        <w:t>•</w:t>
      </w:r>
      <w:r w:rsidRPr="00C34DFC">
        <w:rPr>
          <w:sz w:val="28"/>
          <w:szCs w:val="28"/>
        </w:rPr>
        <w:tab/>
        <w:t xml:space="preserve">виникає питання, на яку кількість відсотків суб’єкт складу злочину повинен </w:t>
      </w:r>
      <w:r w:rsidR="005011A6" w:rsidRPr="00C34DFC">
        <w:rPr>
          <w:sz w:val="28"/>
          <w:szCs w:val="28"/>
        </w:rPr>
        <w:t>не виконати</w:t>
      </w:r>
      <w:r w:rsidRPr="00C34DFC">
        <w:rPr>
          <w:sz w:val="28"/>
          <w:szCs w:val="28"/>
        </w:rPr>
        <w:t xml:space="preserve"> передвиборну програму щоб були законні підстави притягнення до кримінальної відповідальності за даною статтею;</w:t>
      </w:r>
    </w:p>
    <w:p w:rsidR="00C34DFC" w:rsidRPr="00C34DFC" w:rsidRDefault="00C34DFC" w:rsidP="00C34DFC">
      <w:pPr>
        <w:ind w:firstLine="567"/>
        <w:jc w:val="both"/>
        <w:rPr>
          <w:sz w:val="28"/>
          <w:szCs w:val="28"/>
        </w:rPr>
      </w:pPr>
      <w:r w:rsidRPr="00C34DFC">
        <w:rPr>
          <w:sz w:val="28"/>
          <w:szCs w:val="28"/>
        </w:rPr>
        <w:t>•</w:t>
      </w:r>
      <w:r w:rsidRPr="00C34DFC">
        <w:rPr>
          <w:sz w:val="28"/>
          <w:szCs w:val="28"/>
        </w:rPr>
        <w:tab/>
        <w:t>теорія кримінального права визначає родовим об’єктом злочинів проти виборчих, трудових та інших особистих прав і свобод людини і громадянина – конституційні права і свободи людини і громадянина. Однак безпосередній об’єкт складу злочину ст. 160-1 є занадто ширшим ніж родовий об’єкт, що в принципі є неможливим;</w:t>
      </w:r>
    </w:p>
    <w:p w:rsidR="0067175D" w:rsidRPr="0067175D" w:rsidRDefault="00C34DFC" w:rsidP="00C34DFC">
      <w:pPr>
        <w:ind w:firstLine="567"/>
        <w:jc w:val="both"/>
        <w:rPr>
          <w:sz w:val="28"/>
          <w:szCs w:val="28"/>
        </w:rPr>
      </w:pPr>
      <w:r w:rsidRPr="00C34DFC">
        <w:rPr>
          <w:sz w:val="28"/>
          <w:szCs w:val="28"/>
        </w:rPr>
        <w:t>•</w:t>
      </w:r>
      <w:r w:rsidRPr="00C34DFC">
        <w:rPr>
          <w:sz w:val="28"/>
          <w:szCs w:val="28"/>
        </w:rPr>
        <w:tab/>
        <w:t>аналіз даного складу злочину дає можливість зробити висновок, що це формальний склад злочину і об’єктивна сторона заподіюється шляхом бездіяльності, а саме «невиконання» та «бездіяльність цих осіб в частині виконання своєї передвиборної програми». Отже, термінологія, що використовується в диспозиції статті суперечить одна одній, так як невиконання передбачає не вчинення певних дій, які особа могла й повинна була виконати, тобто це і є бездіяльність.</w:t>
      </w:r>
    </w:p>
    <w:p w:rsidR="0067175D" w:rsidRDefault="0067175D" w:rsidP="0067175D">
      <w:pPr>
        <w:pStyle w:val="2"/>
        <w:spacing w:before="360" w:after="120"/>
        <w:rPr>
          <w:rFonts w:ascii="Times New Roman" w:hAnsi="Times New Roman" w:cs="Times New Roman"/>
          <w:b w:val="0"/>
          <w:bCs w:val="0"/>
          <w:szCs w:val="28"/>
        </w:rPr>
      </w:pPr>
    </w:p>
    <w:p w:rsidR="00263F2F" w:rsidRPr="005011A6" w:rsidRDefault="00263F2F" w:rsidP="0067175D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5011A6">
        <w:rPr>
          <w:rFonts w:ascii="Times New Roman" w:hAnsi="Times New Roman" w:cs="Times New Roman"/>
          <w:bCs w:val="0"/>
          <w:szCs w:val="28"/>
        </w:rPr>
        <w:t>Голова Комітету</w:t>
      </w:r>
      <w:r w:rsidRPr="005011A6">
        <w:rPr>
          <w:rFonts w:ascii="Times New Roman" w:hAnsi="Times New Roman" w:cs="Times New Roman"/>
          <w:bCs w:val="0"/>
          <w:szCs w:val="28"/>
        </w:rPr>
        <w:tab/>
      </w:r>
      <w:r w:rsidR="00C91F10" w:rsidRPr="005011A6">
        <w:rPr>
          <w:rFonts w:ascii="Times New Roman" w:hAnsi="Times New Roman"/>
          <w:szCs w:val="28"/>
        </w:rPr>
        <w:t xml:space="preserve">                  </w:t>
      </w:r>
      <w:r w:rsidRPr="005011A6">
        <w:rPr>
          <w:rFonts w:ascii="Times New Roman" w:hAnsi="Times New Roman"/>
          <w:szCs w:val="28"/>
        </w:rPr>
        <w:tab/>
      </w:r>
      <w:r w:rsidRPr="005011A6">
        <w:rPr>
          <w:rFonts w:ascii="Times New Roman" w:hAnsi="Times New Roman"/>
          <w:szCs w:val="28"/>
        </w:rPr>
        <w:tab/>
      </w:r>
      <w:r w:rsidRPr="005011A6">
        <w:rPr>
          <w:rFonts w:ascii="Times New Roman" w:hAnsi="Times New Roman"/>
          <w:szCs w:val="28"/>
        </w:rPr>
        <w:tab/>
      </w:r>
      <w:r w:rsidRPr="005011A6">
        <w:rPr>
          <w:rFonts w:ascii="Times New Roman" w:hAnsi="Times New Roman"/>
          <w:szCs w:val="28"/>
        </w:rPr>
        <w:tab/>
      </w:r>
      <w:r w:rsidRPr="005011A6">
        <w:rPr>
          <w:rFonts w:ascii="Times New Roman" w:hAnsi="Times New Roman"/>
          <w:szCs w:val="28"/>
        </w:rPr>
        <w:tab/>
        <w:t xml:space="preserve">Є. </w:t>
      </w:r>
      <w:r w:rsidRPr="005011A6">
        <w:rPr>
          <w:rFonts w:ascii="Times New Roman" w:hAnsi="Times New Roman"/>
          <w:caps/>
          <w:szCs w:val="28"/>
        </w:rPr>
        <w:t>Соболєв</w:t>
      </w:r>
    </w:p>
    <w:sectPr w:rsidR="00263F2F" w:rsidRPr="005011A6" w:rsidSect="00C05808">
      <w:headerReference w:type="even" r:id="rId7"/>
      <w:headerReference w:type="default" r:id="rId8"/>
      <w:headerReference w:type="firs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880" w:rsidRDefault="00300880">
      <w:r>
        <w:separator/>
      </w:r>
    </w:p>
    <w:p w:rsidR="00300880" w:rsidRDefault="00300880"/>
  </w:endnote>
  <w:endnote w:type="continuationSeparator" w:id="0">
    <w:p w:rsidR="00300880" w:rsidRDefault="00300880">
      <w:r>
        <w:continuationSeparator/>
      </w:r>
    </w:p>
    <w:p w:rsidR="00300880" w:rsidRDefault="00300880"/>
  </w:endnote>
  <w:endnote w:type="continuationNotice" w:id="1">
    <w:p w:rsidR="00300880" w:rsidRDefault="003008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880" w:rsidRDefault="00300880">
      <w:r>
        <w:separator/>
      </w:r>
    </w:p>
    <w:p w:rsidR="00300880" w:rsidRDefault="00300880"/>
  </w:footnote>
  <w:footnote w:type="continuationSeparator" w:id="0">
    <w:p w:rsidR="00300880" w:rsidRDefault="00300880">
      <w:r>
        <w:continuationSeparator/>
      </w:r>
    </w:p>
    <w:p w:rsidR="00300880" w:rsidRDefault="00300880"/>
  </w:footnote>
  <w:footnote w:type="continuationNotice" w:id="1">
    <w:p w:rsidR="00300880" w:rsidRDefault="003008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74348">
      <w:rPr>
        <w:rStyle w:val="a8"/>
        <w:noProof/>
      </w:rPr>
      <w:t>2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73BD5">
      <w:rPr>
        <w:rStyle w:val="a8"/>
        <w:noProof/>
      </w:rPr>
      <w:t>2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№ </w:t>
    </w:r>
    <w:r w:rsidR="00CC392A">
      <w:t>60</w:t>
    </w:r>
    <w:r w:rsidR="00FC2C4E">
      <w:t>78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FC2C4E">
      <w:t>13</w:t>
    </w:r>
    <w:r w:rsidRPr="00F076B3">
      <w:t>.</w:t>
    </w:r>
    <w:r w:rsidR="00BA4B74">
      <w:t>0</w:t>
    </w:r>
    <w:r w:rsidR="001C3656">
      <w:t>2</w:t>
    </w:r>
    <w:r w:rsidRPr="00F076B3">
      <w:t>.201</w:t>
    </w:r>
    <w:r w:rsidR="00CC392A">
      <w:t>7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06AF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A75A7"/>
    <w:rsid w:val="001B6377"/>
    <w:rsid w:val="001C3656"/>
    <w:rsid w:val="001C3D05"/>
    <w:rsid w:val="001D4A71"/>
    <w:rsid w:val="001F5AB4"/>
    <w:rsid w:val="001F7384"/>
    <w:rsid w:val="001F790A"/>
    <w:rsid w:val="002067DA"/>
    <w:rsid w:val="00217B97"/>
    <w:rsid w:val="0023745D"/>
    <w:rsid w:val="00237476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00880"/>
    <w:rsid w:val="00313A30"/>
    <w:rsid w:val="00315C60"/>
    <w:rsid w:val="00333FF0"/>
    <w:rsid w:val="0034725A"/>
    <w:rsid w:val="003963F3"/>
    <w:rsid w:val="003A58CD"/>
    <w:rsid w:val="003A7850"/>
    <w:rsid w:val="003B2286"/>
    <w:rsid w:val="003B2DDA"/>
    <w:rsid w:val="003D042C"/>
    <w:rsid w:val="003D5349"/>
    <w:rsid w:val="003F6807"/>
    <w:rsid w:val="0042009C"/>
    <w:rsid w:val="00433621"/>
    <w:rsid w:val="004605CD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11A6"/>
    <w:rsid w:val="00503761"/>
    <w:rsid w:val="00527461"/>
    <w:rsid w:val="00533758"/>
    <w:rsid w:val="00534E8A"/>
    <w:rsid w:val="005575D7"/>
    <w:rsid w:val="0056269B"/>
    <w:rsid w:val="00573982"/>
    <w:rsid w:val="00581449"/>
    <w:rsid w:val="005961C4"/>
    <w:rsid w:val="005C40A5"/>
    <w:rsid w:val="005D0269"/>
    <w:rsid w:val="005D059C"/>
    <w:rsid w:val="005D5214"/>
    <w:rsid w:val="005D7E79"/>
    <w:rsid w:val="005E2951"/>
    <w:rsid w:val="006018B1"/>
    <w:rsid w:val="00610D98"/>
    <w:rsid w:val="0061613B"/>
    <w:rsid w:val="00622B44"/>
    <w:rsid w:val="0065023C"/>
    <w:rsid w:val="00667671"/>
    <w:rsid w:val="0067175D"/>
    <w:rsid w:val="00674348"/>
    <w:rsid w:val="00676592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46C83"/>
    <w:rsid w:val="007521F0"/>
    <w:rsid w:val="00763B71"/>
    <w:rsid w:val="00773BD5"/>
    <w:rsid w:val="007818E1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38B5"/>
    <w:rsid w:val="008828CF"/>
    <w:rsid w:val="008843B5"/>
    <w:rsid w:val="00891F37"/>
    <w:rsid w:val="0089469F"/>
    <w:rsid w:val="008A14F2"/>
    <w:rsid w:val="008B455C"/>
    <w:rsid w:val="008C046A"/>
    <w:rsid w:val="008D3603"/>
    <w:rsid w:val="008E204F"/>
    <w:rsid w:val="00903176"/>
    <w:rsid w:val="0090352A"/>
    <w:rsid w:val="00912A4B"/>
    <w:rsid w:val="00932C60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7799D"/>
    <w:rsid w:val="00B86A62"/>
    <w:rsid w:val="00B90A18"/>
    <w:rsid w:val="00BA4B74"/>
    <w:rsid w:val="00BB5AF0"/>
    <w:rsid w:val="00BB733E"/>
    <w:rsid w:val="00BC13D9"/>
    <w:rsid w:val="00BE277D"/>
    <w:rsid w:val="00C001AF"/>
    <w:rsid w:val="00C01C90"/>
    <w:rsid w:val="00C02113"/>
    <w:rsid w:val="00C05808"/>
    <w:rsid w:val="00C34685"/>
    <w:rsid w:val="00C34DFC"/>
    <w:rsid w:val="00C34FC3"/>
    <w:rsid w:val="00C80980"/>
    <w:rsid w:val="00C825E9"/>
    <w:rsid w:val="00C91F10"/>
    <w:rsid w:val="00CA0C2B"/>
    <w:rsid w:val="00CA64F0"/>
    <w:rsid w:val="00CB48F0"/>
    <w:rsid w:val="00CC392A"/>
    <w:rsid w:val="00CD2110"/>
    <w:rsid w:val="00CF1C91"/>
    <w:rsid w:val="00CF52B9"/>
    <w:rsid w:val="00D02269"/>
    <w:rsid w:val="00D057EC"/>
    <w:rsid w:val="00D10415"/>
    <w:rsid w:val="00D417D7"/>
    <w:rsid w:val="00D44169"/>
    <w:rsid w:val="00D472C4"/>
    <w:rsid w:val="00D676C7"/>
    <w:rsid w:val="00D75947"/>
    <w:rsid w:val="00D87B47"/>
    <w:rsid w:val="00D97985"/>
    <w:rsid w:val="00DB0303"/>
    <w:rsid w:val="00DB31C3"/>
    <w:rsid w:val="00DC37E8"/>
    <w:rsid w:val="00DD5AB8"/>
    <w:rsid w:val="00DF464A"/>
    <w:rsid w:val="00E04E5E"/>
    <w:rsid w:val="00E31B19"/>
    <w:rsid w:val="00E43A31"/>
    <w:rsid w:val="00E54113"/>
    <w:rsid w:val="00E5472B"/>
    <w:rsid w:val="00E56917"/>
    <w:rsid w:val="00E83BD2"/>
    <w:rsid w:val="00EA3883"/>
    <w:rsid w:val="00ED5F13"/>
    <w:rsid w:val="00EE0396"/>
    <w:rsid w:val="00F076B3"/>
    <w:rsid w:val="00F3097D"/>
    <w:rsid w:val="00F30B8F"/>
    <w:rsid w:val="00F6175E"/>
    <w:rsid w:val="00F65A13"/>
    <w:rsid w:val="00F93BB9"/>
    <w:rsid w:val="00FC2C4E"/>
    <w:rsid w:val="00FD10A5"/>
    <w:rsid w:val="00FE16C8"/>
    <w:rsid w:val="00FF3A74"/>
    <w:rsid w:val="00FF69A7"/>
    <w:rsid w:val="00FF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6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 Version="2005"/>
</file>

<file path=customXml/itemProps1.xml><?xml version="1.0" encoding="utf-8"?>
<ds:datastoreItem xmlns:ds="http://schemas.openxmlformats.org/officeDocument/2006/customXml" ds:itemID="{F3A3CBA2-53CC-4CA4-8064-39C81F32B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2190</Words>
  <Characters>1249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5</cp:revision>
  <cp:lastPrinted>2017-05-12T06:33:00Z</cp:lastPrinted>
  <dcterms:created xsi:type="dcterms:W3CDTF">2017-05-12T06:21:00Z</dcterms:created>
  <dcterms:modified xsi:type="dcterms:W3CDTF">2017-09-08T08:27:00Z</dcterms:modified>
</cp:coreProperties>
</file>