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0824" w:rsidRPr="00D60824" w:rsidRDefault="002663FD" w:rsidP="00D60824">
      <w:pPr>
        <w:spacing w:after="0" w:line="240" w:lineRule="auto"/>
        <w:ind w:firstLine="567"/>
        <w:jc w:val="center"/>
        <w:rPr>
          <w:rFonts w:ascii="Times New Roman" w:eastAsia="Arial" w:hAnsi="Times New Roman"/>
          <w:color w:val="000000"/>
          <w:sz w:val="24"/>
          <w:szCs w:val="24"/>
          <w:lang w:eastAsia="uk-UA"/>
        </w:rPr>
      </w:pPr>
      <w:r>
        <w:rPr>
          <w:rFonts w:ascii="Times New Roman" w:eastAsia="Arial" w:hAnsi="Times New Roman"/>
          <w:color w:val="000000"/>
          <w:sz w:val="24"/>
          <w:szCs w:val="24"/>
          <w:lang w:eastAsia="uk-UA"/>
        </w:rPr>
        <w:tab/>
      </w:r>
      <w:r>
        <w:rPr>
          <w:rFonts w:ascii="Times New Roman" w:eastAsia="Arial" w:hAnsi="Times New Roman"/>
          <w:color w:val="000000"/>
          <w:sz w:val="24"/>
          <w:szCs w:val="24"/>
          <w:lang w:eastAsia="uk-UA"/>
        </w:rPr>
        <w:tab/>
      </w:r>
      <w:r>
        <w:rPr>
          <w:rFonts w:ascii="Times New Roman" w:eastAsia="Arial" w:hAnsi="Times New Roman"/>
          <w:color w:val="000000"/>
          <w:sz w:val="24"/>
          <w:szCs w:val="24"/>
          <w:lang w:eastAsia="uk-UA"/>
        </w:rPr>
        <w:tab/>
      </w:r>
      <w:r>
        <w:rPr>
          <w:rFonts w:ascii="Times New Roman" w:eastAsia="Arial" w:hAnsi="Times New Roman"/>
          <w:color w:val="000000"/>
          <w:sz w:val="24"/>
          <w:szCs w:val="24"/>
          <w:lang w:eastAsia="uk-UA"/>
        </w:rPr>
        <w:tab/>
      </w:r>
      <w:r>
        <w:rPr>
          <w:rFonts w:ascii="Times New Roman" w:eastAsia="Arial" w:hAnsi="Times New Roman"/>
          <w:color w:val="000000"/>
          <w:sz w:val="24"/>
          <w:szCs w:val="24"/>
          <w:lang w:eastAsia="uk-UA"/>
        </w:rPr>
        <w:tab/>
      </w:r>
      <w:r>
        <w:rPr>
          <w:rFonts w:ascii="Times New Roman" w:eastAsia="Arial" w:hAnsi="Times New Roman"/>
          <w:color w:val="000000"/>
          <w:sz w:val="24"/>
          <w:szCs w:val="24"/>
          <w:lang w:eastAsia="uk-UA"/>
        </w:rPr>
        <w:tab/>
      </w:r>
      <w:r>
        <w:rPr>
          <w:rFonts w:ascii="Times New Roman" w:eastAsia="Arial" w:hAnsi="Times New Roman"/>
          <w:color w:val="000000"/>
          <w:sz w:val="24"/>
          <w:szCs w:val="24"/>
          <w:lang w:eastAsia="uk-UA"/>
        </w:rPr>
        <w:tab/>
      </w:r>
      <w:r>
        <w:rPr>
          <w:rFonts w:ascii="Times New Roman" w:eastAsia="Arial" w:hAnsi="Times New Roman"/>
          <w:color w:val="000000"/>
          <w:sz w:val="24"/>
          <w:szCs w:val="24"/>
          <w:lang w:eastAsia="uk-UA"/>
        </w:rPr>
        <w:tab/>
      </w:r>
      <w:r>
        <w:rPr>
          <w:rFonts w:ascii="Times New Roman" w:eastAsia="Arial" w:hAnsi="Times New Roman"/>
          <w:color w:val="000000"/>
          <w:sz w:val="24"/>
          <w:szCs w:val="24"/>
          <w:lang w:eastAsia="uk-UA"/>
        </w:rPr>
        <w:tab/>
      </w:r>
      <w:r>
        <w:rPr>
          <w:rFonts w:ascii="Times New Roman" w:eastAsia="Arial" w:hAnsi="Times New Roman"/>
          <w:color w:val="000000"/>
          <w:sz w:val="24"/>
          <w:szCs w:val="24"/>
          <w:lang w:eastAsia="uk-UA"/>
        </w:rPr>
        <w:tab/>
      </w:r>
      <w:r>
        <w:rPr>
          <w:rFonts w:ascii="Times New Roman" w:eastAsia="Arial" w:hAnsi="Times New Roman"/>
          <w:color w:val="000000"/>
          <w:sz w:val="24"/>
          <w:szCs w:val="24"/>
          <w:lang w:eastAsia="uk-UA"/>
        </w:rPr>
        <w:tab/>
      </w:r>
      <w:r>
        <w:rPr>
          <w:rFonts w:ascii="Times New Roman" w:eastAsia="Arial" w:hAnsi="Times New Roman"/>
          <w:color w:val="000000"/>
          <w:sz w:val="24"/>
          <w:szCs w:val="24"/>
          <w:lang w:eastAsia="uk-UA"/>
        </w:rPr>
        <w:tab/>
      </w:r>
      <w:r>
        <w:rPr>
          <w:rFonts w:ascii="Times New Roman" w:eastAsia="Arial" w:hAnsi="Times New Roman"/>
          <w:color w:val="000000"/>
          <w:sz w:val="24"/>
          <w:szCs w:val="24"/>
          <w:lang w:eastAsia="uk-UA"/>
        </w:rPr>
        <w:tab/>
      </w:r>
      <w:r w:rsidR="00D60824" w:rsidRPr="00D60824">
        <w:rPr>
          <w:rFonts w:ascii="Times New Roman" w:eastAsia="Arial" w:hAnsi="Times New Roman"/>
          <w:color w:val="000000"/>
          <w:sz w:val="24"/>
          <w:szCs w:val="24"/>
          <w:lang w:eastAsia="uk-UA"/>
        </w:rPr>
        <w:tab/>
      </w:r>
      <w:r w:rsidR="00D60824" w:rsidRPr="00D60824">
        <w:rPr>
          <w:rFonts w:ascii="Times New Roman" w:eastAsia="Arial" w:hAnsi="Times New Roman"/>
          <w:color w:val="000000"/>
          <w:sz w:val="24"/>
          <w:szCs w:val="24"/>
          <w:lang w:eastAsia="uk-UA"/>
        </w:rPr>
        <w:tab/>
      </w:r>
      <w:r w:rsidR="00D60824">
        <w:rPr>
          <w:rFonts w:ascii="Times New Roman" w:eastAsia="Arial" w:hAnsi="Times New Roman"/>
          <w:color w:val="000000"/>
          <w:sz w:val="24"/>
          <w:szCs w:val="24"/>
          <w:lang w:eastAsia="uk-UA"/>
        </w:rPr>
        <w:tab/>
      </w:r>
      <w:r w:rsidR="00D60824">
        <w:rPr>
          <w:rFonts w:ascii="Times New Roman" w:eastAsia="Arial" w:hAnsi="Times New Roman"/>
          <w:color w:val="000000"/>
          <w:sz w:val="24"/>
          <w:szCs w:val="24"/>
          <w:lang w:eastAsia="uk-UA"/>
        </w:rPr>
        <w:tab/>
      </w:r>
      <w:r w:rsidR="00D60824">
        <w:rPr>
          <w:rFonts w:ascii="Times New Roman" w:eastAsia="Arial" w:hAnsi="Times New Roman"/>
          <w:color w:val="000000"/>
          <w:sz w:val="24"/>
          <w:szCs w:val="24"/>
          <w:lang w:eastAsia="uk-UA"/>
        </w:rPr>
        <w:tab/>
      </w:r>
      <w:r w:rsidR="00D60824">
        <w:rPr>
          <w:rFonts w:ascii="Times New Roman" w:eastAsia="Arial" w:hAnsi="Times New Roman"/>
          <w:color w:val="000000"/>
          <w:sz w:val="24"/>
          <w:szCs w:val="24"/>
          <w:lang w:eastAsia="uk-UA"/>
        </w:rPr>
        <w:tab/>
      </w:r>
      <w:r w:rsidR="00D60824">
        <w:rPr>
          <w:rFonts w:ascii="Times New Roman" w:eastAsia="Arial" w:hAnsi="Times New Roman"/>
          <w:color w:val="000000"/>
          <w:sz w:val="24"/>
          <w:szCs w:val="24"/>
          <w:lang w:eastAsia="uk-UA"/>
        </w:rPr>
        <w:tab/>
      </w:r>
      <w:r w:rsidR="00D60824">
        <w:rPr>
          <w:rFonts w:ascii="Times New Roman" w:eastAsia="Arial" w:hAnsi="Times New Roman"/>
          <w:color w:val="000000"/>
          <w:sz w:val="24"/>
          <w:szCs w:val="24"/>
          <w:lang w:eastAsia="uk-UA"/>
        </w:rPr>
        <w:tab/>
      </w:r>
      <w:r w:rsidR="00D60824">
        <w:rPr>
          <w:rFonts w:ascii="Times New Roman" w:eastAsia="Arial" w:hAnsi="Times New Roman"/>
          <w:color w:val="000000"/>
          <w:sz w:val="24"/>
          <w:szCs w:val="24"/>
          <w:lang w:eastAsia="uk-UA"/>
        </w:rPr>
        <w:tab/>
      </w:r>
      <w:r w:rsidR="00D60824">
        <w:rPr>
          <w:rFonts w:ascii="Times New Roman" w:eastAsia="Arial" w:hAnsi="Times New Roman"/>
          <w:color w:val="000000"/>
          <w:sz w:val="24"/>
          <w:szCs w:val="24"/>
          <w:lang w:eastAsia="uk-UA"/>
        </w:rPr>
        <w:tab/>
      </w:r>
      <w:r w:rsidR="00D60824" w:rsidRPr="00D60824">
        <w:rPr>
          <w:rFonts w:ascii="Times New Roman" w:eastAsia="Arial" w:hAnsi="Times New Roman"/>
          <w:color w:val="000000"/>
          <w:sz w:val="24"/>
          <w:szCs w:val="24"/>
          <w:lang w:eastAsia="uk-UA"/>
        </w:rPr>
        <w:t>До реєстр. № 6221</w:t>
      </w:r>
    </w:p>
    <w:p w:rsidR="002663FD" w:rsidRDefault="00D60824" w:rsidP="00D60824">
      <w:pPr>
        <w:spacing w:after="0" w:line="240" w:lineRule="auto"/>
        <w:ind w:firstLine="567"/>
        <w:jc w:val="center"/>
        <w:rPr>
          <w:rFonts w:ascii="Times New Roman" w:eastAsia="Times New Roman" w:hAnsi="Times New Roman"/>
          <w:w w:val="80"/>
          <w:sz w:val="28"/>
          <w:szCs w:val="28"/>
          <w:lang w:eastAsia="uk-UA"/>
        </w:rPr>
      </w:pPr>
      <w:r w:rsidRPr="00D60824">
        <w:rPr>
          <w:rFonts w:ascii="Times New Roman" w:eastAsia="Arial" w:hAnsi="Times New Roman"/>
          <w:color w:val="000000"/>
          <w:sz w:val="24"/>
          <w:szCs w:val="24"/>
          <w:lang w:eastAsia="uk-UA"/>
        </w:rPr>
        <w:tab/>
      </w:r>
      <w:r w:rsidRPr="00D60824">
        <w:rPr>
          <w:rFonts w:ascii="Times New Roman" w:eastAsia="Arial" w:hAnsi="Times New Roman"/>
          <w:color w:val="000000"/>
          <w:sz w:val="24"/>
          <w:szCs w:val="24"/>
          <w:lang w:eastAsia="uk-UA"/>
        </w:rPr>
        <w:tab/>
      </w:r>
      <w:r>
        <w:rPr>
          <w:rFonts w:ascii="Times New Roman" w:eastAsia="Arial" w:hAnsi="Times New Roman"/>
          <w:color w:val="000000"/>
          <w:sz w:val="24"/>
          <w:szCs w:val="24"/>
          <w:lang w:eastAsia="uk-UA"/>
        </w:rPr>
        <w:tab/>
      </w:r>
      <w:r>
        <w:rPr>
          <w:rFonts w:ascii="Times New Roman" w:eastAsia="Arial" w:hAnsi="Times New Roman"/>
          <w:color w:val="000000"/>
          <w:sz w:val="24"/>
          <w:szCs w:val="24"/>
          <w:lang w:eastAsia="uk-UA"/>
        </w:rPr>
        <w:tab/>
      </w:r>
      <w:r>
        <w:rPr>
          <w:rFonts w:ascii="Times New Roman" w:eastAsia="Arial" w:hAnsi="Times New Roman"/>
          <w:color w:val="000000"/>
          <w:sz w:val="24"/>
          <w:szCs w:val="24"/>
          <w:lang w:eastAsia="uk-UA"/>
        </w:rPr>
        <w:tab/>
      </w:r>
      <w:r>
        <w:rPr>
          <w:rFonts w:ascii="Times New Roman" w:eastAsia="Arial" w:hAnsi="Times New Roman"/>
          <w:color w:val="000000"/>
          <w:sz w:val="24"/>
          <w:szCs w:val="24"/>
          <w:lang w:eastAsia="uk-UA"/>
        </w:rPr>
        <w:tab/>
      </w:r>
      <w:r>
        <w:rPr>
          <w:rFonts w:ascii="Times New Roman" w:eastAsia="Arial" w:hAnsi="Times New Roman"/>
          <w:color w:val="000000"/>
          <w:sz w:val="24"/>
          <w:szCs w:val="24"/>
          <w:lang w:eastAsia="uk-UA"/>
        </w:rPr>
        <w:tab/>
      </w:r>
      <w:r>
        <w:rPr>
          <w:rFonts w:ascii="Times New Roman" w:eastAsia="Arial" w:hAnsi="Times New Roman"/>
          <w:color w:val="000000"/>
          <w:sz w:val="24"/>
          <w:szCs w:val="24"/>
          <w:lang w:eastAsia="uk-UA"/>
        </w:rPr>
        <w:tab/>
      </w:r>
      <w:r>
        <w:rPr>
          <w:rFonts w:ascii="Times New Roman" w:eastAsia="Arial" w:hAnsi="Times New Roman"/>
          <w:color w:val="000000"/>
          <w:sz w:val="24"/>
          <w:szCs w:val="24"/>
          <w:lang w:eastAsia="uk-UA"/>
        </w:rPr>
        <w:tab/>
      </w:r>
      <w:r>
        <w:rPr>
          <w:rFonts w:ascii="Times New Roman" w:eastAsia="Arial" w:hAnsi="Times New Roman"/>
          <w:color w:val="000000"/>
          <w:sz w:val="24"/>
          <w:szCs w:val="24"/>
          <w:lang w:eastAsia="uk-UA"/>
        </w:rPr>
        <w:tab/>
      </w:r>
      <w:r w:rsidRPr="00D60824">
        <w:rPr>
          <w:rFonts w:ascii="Times New Roman" w:eastAsia="Arial" w:hAnsi="Times New Roman"/>
          <w:color w:val="000000"/>
          <w:sz w:val="24"/>
          <w:szCs w:val="24"/>
          <w:lang w:eastAsia="uk-UA"/>
        </w:rPr>
        <w:t xml:space="preserve"> від 22.03.2017</w:t>
      </w:r>
    </w:p>
    <w:p w:rsidR="002663FD" w:rsidRDefault="002663FD" w:rsidP="002663FD">
      <w:pPr>
        <w:spacing w:before="120" w:after="0" w:line="240" w:lineRule="auto"/>
        <w:ind w:left="7788" w:firstLine="708"/>
        <w:jc w:val="both"/>
        <w:rPr>
          <w:rFonts w:ascii="Times New Roman" w:eastAsia="Times New Roman" w:hAnsi="Times New Roman"/>
          <w:w w:val="80"/>
          <w:sz w:val="28"/>
          <w:szCs w:val="28"/>
          <w:lang w:eastAsia="uk-UA"/>
        </w:rPr>
      </w:pPr>
    </w:p>
    <w:p w:rsidR="002663FD" w:rsidRDefault="002663FD" w:rsidP="002663FD">
      <w:pPr>
        <w:spacing w:before="120" w:after="0" w:line="240" w:lineRule="auto"/>
        <w:ind w:left="7788" w:firstLine="708"/>
        <w:jc w:val="both"/>
        <w:rPr>
          <w:rFonts w:ascii="Times New Roman" w:eastAsia="Times New Roman" w:hAnsi="Times New Roman"/>
          <w:w w:val="80"/>
          <w:sz w:val="28"/>
          <w:szCs w:val="28"/>
          <w:lang w:eastAsia="uk-UA"/>
        </w:rPr>
      </w:pPr>
    </w:p>
    <w:p w:rsidR="002663FD" w:rsidRDefault="002663FD" w:rsidP="002663FD">
      <w:pPr>
        <w:spacing w:before="120" w:after="0" w:line="240" w:lineRule="auto"/>
        <w:ind w:left="7788" w:firstLine="708"/>
        <w:jc w:val="both"/>
        <w:rPr>
          <w:rFonts w:ascii="Times New Roman" w:eastAsia="Times New Roman" w:hAnsi="Times New Roman"/>
          <w:w w:val="80"/>
          <w:sz w:val="28"/>
          <w:szCs w:val="28"/>
          <w:lang w:eastAsia="uk-UA"/>
        </w:rPr>
      </w:pPr>
    </w:p>
    <w:p w:rsidR="002663FD" w:rsidRDefault="002663FD" w:rsidP="002663FD">
      <w:pPr>
        <w:spacing w:before="120" w:after="0" w:line="240" w:lineRule="auto"/>
        <w:ind w:left="7788" w:firstLine="708"/>
        <w:jc w:val="both"/>
        <w:rPr>
          <w:rFonts w:ascii="Times New Roman" w:eastAsia="Times New Roman" w:hAnsi="Times New Roman"/>
          <w:w w:val="80"/>
          <w:sz w:val="28"/>
          <w:szCs w:val="28"/>
          <w:lang w:eastAsia="uk-UA"/>
        </w:rPr>
      </w:pPr>
    </w:p>
    <w:p w:rsidR="002663FD" w:rsidRDefault="002663FD" w:rsidP="002663FD">
      <w:pPr>
        <w:spacing w:before="120" w:after="0" w:line="240" w:lineRule="auto"/>
        <w:ind w:left="7788" w:firstLine="708"/>
        <w:jc w:val="both"/>
        <w:rPr>
          <w:rFonts w:ascii="Times New Roman" w:eastAsia="Times New Roman" w:hAnsi="Times New Roman"/>
          <w:w w:val="80"/>
          <w:sz w:val="28"/>
          <w:szCs w:val="28"/>
          <w:lang w:eastAsia="uk-UA"/>
        </w:rPr>
      </w:pPr>
    </w:p>
    <w:p w:rsidR="002663FD" w:rsidRDefault="002663FD" w:rsidP="002663FD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ВИСНОВОК</w:t>
      </w:r>
    </w:p>
    <w:p w:rsidR="002663FD" w:rsidRDefault="002663FD" w:rsidP="002663FD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щодо відповідності проекту нормативно-правового акта</w:t>
      </w:r>
    </w:p>
    <w:p w:rsidR="002663FD" w:rsidRDefault="002663FD" w:rsidP="002663FD">
      <w:pPr>
        <w:spacing w:after="36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вимогам антикорупційного законодавства</w:t>
      </w:r>
    </w:p>
    <w:p w:rsidR="002663FD" w:rsidRPr="002663FD" w:rsidRDefault="002663FD" w:rsidP="002663FD">
      <w:pPr>
        <w:tabs>
          <w:tab w:val="num" w:pos="1080"/>
        </w:tabs>
        <w:spacing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Назва проекту акта: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</w:t>
      </w:r>
      <w:r w:rsidRPr="002663FD">
        <w:rPr>
          <w:rFonts w:ascii="Times New Roman" w:eastAsia="Times New Roman" w:hAnsi="Times New Roman"/>
          <w:bCs/>
          <w:sz w:val="28"/>
          <w:szCs w:val="28"/>
          <w:lang w:eastAsia="ru-RU"/>
        </w:rPr>
        <w:t>роект Закону про внесення змін до Закону України "Про ліцензування видів господарської діяльності" щодо зупинення дії ліцензії</w:t>
      </w:r>
    </w:p>
    <w:p w:rsidR="002663FD" w:rsidRDefault="002663FD" w:rsidP="002663FD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Реєстр.</w:t>
      </w:r>
      <w:r>
        <w:rPr>
          <w:rFonts w:ascii="Times New Roman" w:hAnsi="Times New Roman"/>
          <w:sz w:val="28"/>
          <w:szCs w:val="28"/>
        </w:rPr>
        <w:t xml:space="preserve"> № </w:t>
      </w:r>
      <w:r w:rsidRPr="002663FD">
        <w:rPr>
          <w:rFonts w:ascii="Times New Roman" w:hAnsi="Times New Roman"/>
          <w:sz w:val="28"/>
          <w:szCs w:val="28"/>
        </w:rPr>
        <w:t>6221 від 22.03.2017</w:t>
      </w:r>
    </w:p>
    <w:p w:rsidR="002663FD" w:rsidRPr="002663FD" w:rsidRDefault="002663FD" w:rsidP="002663FD">
      <w:pPr>
        <w:shd w:val="clear" w:color="auto" w:fill="FFFFFF"/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Суб’єкт права законодавчої ініціативи: народний депутат України </w:t>
      </w:r>
      <w:r w:rsidR="00A64EDD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</w:t>
      </w:r>
      <w:r w:rsidRPr="002663F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Бублик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Ю.В.</w:t>
      </w:r>
    </w:p>
    <w:p w:rsidR="002663FD" w:rsidRDefault="002663FD" w:rsidP="002663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Cs/>
          <w:spacing w:val="4"/>
          <w:sz w:val="28"/>
          <w:szCs w:val="28"/>
          <w:lang w:eastAsia="ru-RU"/>
        </w:rPr>
      </w:pPr>
      <w:r w:rsidRPr="002663FD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Головний комітет з підготовки і попереднього розгляду </w:t>
      </w:r>
      <w:r>
        <w:rPr>
          <w:rFonts w:ascii="Times New Roman" w:eastAsia="Times New Roman" w:hAnsi="Times New Roman"/>
          <w:bCs/>
          <w:spacing w:val="4"/>
          <w:sz w:val="28"/>
          <w:szCs w:val="28"/>
          <w:lang w:eastAsia="ru-RU"/>
        </w:rPr>
        <w:t xml:space="preserve">– </w:t>
      </w:r>
      <w:r w:rsidRPr="002663FD">
        <w:rPr>
          <w:rFonts w:ascii="Times New Roman" w:eastAsia="Times New Roman" w:hAnsi="Times New Roman"/>
          <w:bCs/>
          <w:spacing w:val="4"/>
          <w:sz w:val="28"/>
          <w:szCs w:val="28"/>
          <w:lang w:eastAsia="ru-RU"/>
        </w:rPr>
        <w:t>Комітет з питань промислової політики та підприємництва</w:t>
      </w:r>
    </w:p>
    <w:p w:rsidR="002663FD" w:rsidRDefault="002663FD" w:rsidP="002663F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</w:p>
    <w:p w:rsidR="006E3B73" w:rsidRPr="006E3B73" w:rsidRDefault="002663FD" w:rsidP="006E3B7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="006E3B73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</w:t>
      </w:r>
      <w:r w:rsidR="006E3B73" w:rsidRPr="006E3B73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У проекті акта виявлено корупціогенні фактори – проект акта не відповідає вимогам антикорупційного законодавства  (рішення Комітету від           </w:t>
      </w:r>
      <w:r w:rsidR="00F26F98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       16 січня, протокол № 11</w:t>
      </w:r>
      <w:r w:rsidR="005A443C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6</w:t>
      </w:r>
      <w:bookmarkStart w:id="0" w:name="_GoBack"/>
      <w:bookmarkEnd w:id="0"/>
      <w:r w:rsidR="006E3B73" w:rsidRPr="006E3B73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)</w:t>
      </w:r>
    </w:p>
    <w:p w:rsidR="002663FD" w:rsidRDefault="002663FD" w:rsidP="002663F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</w:p>
    <w:p w:rsidR="002663FD" w:rsidRPr="002663FD" w:rsidRDefault="002663FD" w:rsidP="002663FD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663FD">
        <w:rPr>
          <w:rFonts w:ascii="Times New Roman" w:eastAsia="Times New Roman" w:hAnsi="Times New Roman"/>
          <w:sz w:val="28"/>
          <w:szCs w:val="28"/>
          <w:lang w:eastAsia="ru-RU"/>
        </w:rPr>
        <w:t>Законопроектом пропонується доповнити Закон України «Про ліцензування видів господарської діяльності» новою статтею 15</w:t>
      </w:r>
      <w:r w:rsidRPr="002663FD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t>1</w:t>
      </w:r>
      <w:r w:rsidRPr="002663FD">
        <w:rPr>
          <w:rFonts w:ascii="Times New Roman" w:eastAsia="Times New Roman" w:hAnsi="Times New Roman"/>
          <w:sz w:val="28"/>
          <w:szCs w:val="28"/>
          <w:lang w:eastAsia="ru-RU"/>
        </w:rPr>
        <w:t xml:space="preserve"> «Зупинення дії ліцензії», в якій пропонується визнати підставою для зупинення дії ліцензії грубе порушення ліцензіатом ліцензійних умов, а також визначається порядок зупинення дії ліцензії.</w:t>
      </w:r>
    </w:p>
    <w:p w:rsidR="002663FD" w:rsidRPr="002663FD" w:rsidRDefault="002663FD" w:rsidP="002663FD">
      <w:pPr>
        <w:spacing w:after="0" w:line="240" w:lineRule="auto"/>
        <w:ind w:firstLine="708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2663FD">
        <w:rPr>
          <w:rFonts w:ascii="Times New Roman" w:eastAsia="Times New Roman" w:hAnsi="Times New Roman"/>
          <w:sz w:val="28"/>
          <w:szCs w:val="28"/>
          <w:lang w:eastAsia="ru-RU"/>
        </w:rPr>
        <w:t>Також в законопроекті надається визначення поняттю «</w:t>
      </w:r>
      <w:r w:rsidRPr="002663FD">
        <w:rPr>
          <w:rFonts w:ascii="Times New Roman" w:eastAsia="Times New Roman" w:hAnsi="Times New Roman"/>
          <w:i/>
          <w:sz w:val="28"/>
          <w:szCs w:val="28"/>
          <w:lang w:eastAsia="ru-RU"/>
        </w:rPr>
        <w:t>грубе порушення ліцензіатом ліцензійних умов</w:t>
      </w:r>
      <w:r w:rsidRPr="002663FD">
        <w:rPr>
          <w:rFonts w:ascii="Times New Roman" w:eastAsia="Times New Roman" w:hAnsi="Times New Roman"/>
          <w:sz w:val="28"/>
          <w:szCs w:val="28"/>
          <w:lang w:eastAsia="ru-RU"/>
        </w:rPr>
        <w:t xml:space="preserve">» - </w:t>
      </w:r>
      <w:r w:rsidRPr="002663FD">
        <w:rPr>
          <w:rFonts w:ascii="Times New Roman" w:eastAsia="Times New Roman" w:hAnsi="Times New Roman"/>
          <w:i/>
          <w:sz w:val="28"/>
          <w:szCs w:val="28"/>
          <w:lang w:eastAsia="ru-RU"/>
        </w:rPr>
        <w:t>це невиконання ліцензіатом в установлений строк розпорядження про усунення порушень ліцензійних умов або вчинення ним порушення ліцензійних умов, яке свідчить про явне й умисне нехтування їх вимогами з боку ліцензіата та потягло наслідки у вигляді значної шкоди, завданої державі, навколишньому природному середовищу, фізичним чи юридичним особам.</w:t>
      </w:r>
    </w:p>
    <w:p w:rsidR="002663FD" w:rsidRPr="002663FD" w:rsidRDefault="002663FD" w:rsidP="002663FD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2663FD">
        <w:rPr>
          <w:rFonts w:ascii="Times New Roman" w:eastAsia="Times New Roman" w:hAnsi="Times New Roman"/>
          <w:sz w:val="28"/>
          <w:szCs w:val="28"/>
          <w:lang w:eastAsia="ru-RU"/>
        </w:rPr>
        <w:t>Однак варто звернути увагу, що право призупиняти дії ліцензій передбачається не тільки Законом України «Про ліцензування видів господарської діяльності», але й іншими законодавчими актами, зокрема Законами України «Про дозвільну діяльність у сфері використання ядерної енергії», «Про ринок природного газу», «Про державне регулювання ринку цінних паперів в Україні», «</w:t>
      </w:r>
      <w:r w:rsidRPr="002663FD">
        <w:rPr>
          <w:rFonts w:ascii="Times New Roman" w:eastAsia="Times New Roman" w:hAnsi="Times New Roman"/>
          <w:bCs/>
          <w:sz w:val="28"/>
          <w:szCs w:val="28"/>
          <w:lang w:eastAsia="ru-RU"/>
        </w:rPr>
        <w:t>Про Національну комісію, що здійснює державне регулювання у сферах енергетики та комунальних послуг» та ін.</w:t>
      </w:r>
    </w:p>
    <w:p w:rsidR="002663FD" w:rsidRPr="002663FD" w:rsidRDefault="002663FD" w:rsidP="002663FD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663F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Тому намагання уніфікувати питання призупинення дії ліцензії одним тільки законом без узгодження цього з іншими нормами законодавчих актів </w:t>
      </w:r>
      <w:r w:rsidRPr="002663FD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 xml:space="preserve">створює прецедент неузгодженості та </w:t>
      </w:r>
      <w:r w:rsidRPr="002663FD">
        <w:rPr>
          <w:rFonts w:ascii="Times New Roman" w:eastAsia="Times New Roman" w:hAnsi="Times New Roman"/>
          <w:sz w:val="28"/>
          <w:szCs w:val="28"/>
          <w:lang w:eastAsia="ru-RU"/>
        </w:rPr>
        <w:t>передумови для неоднозначного  застосування норм.</w:t>
      </w:r>
    </w:p>
    <w:p w:rsidR="002663FD" w:rsidRPr="002663FD" w:rsidRDefault="002663FD" w:rsidP="002663FD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663F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Запропоноване законопроектом визначення «</w:t>
      </w:r>
      <w:r w:rsidRPr="002663FD">
        <w:rPr>
          <w:rFonts w:ascii="Times New Roman" w:eastAsia="Times New Roman" w:hAnsi="Times New Roman"/>
          <w:b/>
          <w:bCs/>
          <w:i/>
          <w:sz w:val="28"/>
          <w:szCs w:val="28"/>
          <w:lang w:eastAsia="ru-RU"/>
        </w:rPr>
        <w:t xml:space="preserve">грубе порушення </w:t>
      </w:r>
      <w:r w:rsidRPr="002663FD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ліцензіатом ліцензійних умов</w:t>
      </w:r>
      <w:r w:rsidRPr="002663FD">
        <w:rPr>
          <w:rFonts w:ascii="Times New Roman" w:eastAsia="Times New Roman" w:hAnsi="Times New Roman"/>
          <w:b/>
          <w:sz w:val="28"/>
          <w:szCs w:val="28"/>
          <w:lang w:eastAsia="ru-RU"/>
        </w:rPr>
        <w:t>» є нечітким</w:t>
      </w:r>
      <w:r w:rsidRPr="002663FD">
        <w:rPr>
          <w:rFonts w:ascii="Times New Roman" w:eastAsia="Times New Roman" w:hAnsi="Times New Roman"/>
          <w:sz w:val="28"/>
          <w:szCs w:val="28"/>
          <w:lang w:eastAsia="ru-RU"/>
        </w:rPr>
        <w:t xml:space="preserve">, крім того, важко зрозуміти, як саме «невиконання ліцензіатом в установлений строк розпорядження про усунення порушень ліцензійних умов або вчинення ним порушення ліцензійних умов» може призвести до наслідків у вигляді значної шкоди, завданої державі, навколишньому природному середовищу, фізичним чи юридичним особам. </w:t>
      </w:r>
    </w:p>
    <w:p w:rsidR="002663FD" w:rsidRPr="002663FD" w:rsidRDefault="002663FD" w:rsidP="002663FD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663FD">
        <w:rPr>
          <w:rFonts w:ascii="Times New Roman" w:eastAsia="Times New Roman" w:hAnsi="Times New Roman"/>
          <w:b/>
          <w:sz w:val="28"/>
          <w:szCs w:val="28"/>
          <w:lang w:eastAsia="ru-RU"/>
        </w:rPr>
        <w:t>Також такі поняття як «</w:t>
      </w:r>
      <w:r w:rsidRPr="002663FD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значна шкода</w:t>
      </w:r>
      <w:r w:rsidRPr="002663FD">
        <w:rPr>
          <w:rFonts w:ascii="Times New Roman" w:eastAsia="Times New Roman" w:hAnsi="Times New Roman"/>
          <w:b/>
          <w:sz w:val="28"/>
          <w:szCs w:val="28"/>
          <w:lang w:eastAsia="ru-RU"/>
        </w:rPr>
        <w:t>» та «</w:t>
      </w:r>
      <w:r w:rsidRPr="002663FD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грубе правопорушення</w:t>
      </w:r>
      <w:r w:rsidRPr="002663FD">
        <w:rPr>
          <w:rFonts w:ascii="Times New Roman" w:eastAsia="Times New Roman" w:hAnsi="Times New Roman"/>
          <w:b/>
          <w:sz w:val="28"/>
          <w:szCs w:val="28"/>
          <w:lang w:eastAsia="ru-RU"/>
        </w:rPr>
        <w:t>» мають</w:t>
      </w:r>
      <w:r w:rsidRPr="002663F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2663FD">
        <w:rPr>
          <w:rFonts w:ascii="Times New Roman" w:eastAsia="Times New Roman" w:hAnsi="Times New Roman"/>
          <w:b/>
          <w:sz w:val="28"/>
          <w:szCs w:val="28"/>
          <w:lang w:eastAsia="ru-RU"/>
        </w:rPr>
        <w:t>оціночний характер, що може дати підстави уповноваженим органам для суб</w:t>
      </w:r>
      <w:r w:rsidRPr="002663FD"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>’</w:t>
      </w:r>
      <w:r w:rsidRPr="002663FD">
        <w:rPr>
          <w:rFonts w:ascii="Times New Roman" w:eastAsia="Times New Roman" w:hAnsi="Times New Roman"/>
          <w:b/>
          <w:sz w:val="28"/>
          <w:szCs w:val="28"/>
          <w:lang w:eastAsia="ru-RU"/>
        </w:rPr>
        <w:t>єктивного підходу у прийнятті рішень та корупційних проявів.</w:t>
      </w:r>
    </w:p>
    <w:p w:rsidR="002663FD" w:rsidRPr="002663FD" w:rsidRDefault="002663FD" w:rsidP="002663FD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663FD">
        <w:rPr>
          <w:rFonts w:ascii="Times New Roman" w:eastAsia="Times New Roman" w:hAnsi="Times New Roman"/>
          <w:sz w:val="28"/>
          <w:szCs w:val="28"/>
          <w:lang w:eastAsia="ru-RU"/>
        </w:rPr>
        <w:t>Окрім того, в статті 15</w:t>
      </w:r>
      <w:r w:rsidRPr="002663FD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t>1</w:t>
      </w:r>
      <w:r w:rsidRPr="002663FD">
        <w:rPr>
          <w:rFonts w:ascii="Times New Roman" w:eastAsia="Times New Roman" w:hAnsi="Times New Roman"/>
          <w:sz w:val="28"/>
          <w:szCs w:val="28"/>
          <w:lang w:eastAsia="ru-RU"/>
        </w:rPr>
        <w:t xml:space="preserve"> «Зупинення дії ліцензії» законопроекту </w:t>
      </w:r>
      <w:r w:rsidRPr="002663FD">
        <w:rPr>
          <w:rFonts w:ascii="Times New Roman" w:eastAsia="Times New Roman" w:hAnsi="Times New Roman"/>
          <w:b/>
          <w:sz w:val="28"/>
          <w:szCs w:val="28"/>
          <w:lang w:eastAsia="ru-RU"/>
        </w:rPr>
        <w:t>нечітко дається відлік строку зупинення дії ліцензії</w:t>
      </w:r>
      <w:r w:rsidRPr="002663FD">
        <w:rPr>
          <w:rFonts w:ascii="Times New Roman" w:eastAsia="Times New Roman" w:hAnsi="Times New Roman"/>
          <w:sz w:val="28"/>
          <w:szCs w:val="28"/>
          <w:lang w:eastAsia="ru-RU"/>
        </w:rPr>
        <w:t>. Так, за змістом запропонованих змін «</w:t>
      </w:r>
      <w:r w:rsidRPr="002663FD">
        <w:rPr>
          <w:rFonts w:ascii="Times New Roman" w:eastAsia="Times New Roman" w:hAnsi="Times New Roman"/>
          <w:i/>
          <w:sz w:val="28"/>
          <w:szCs w:val="28"/>
          <w:lang w:eastAsia="ru-RU"/>
        </w:rPr>
        <w:t>дія ліцензії вважається зупиненою з дня, коли ліцензіат дізнався чи повинен був дізнатись про зупинення її дії»</w:t>
      </w:r>
      <w:r w:rsidRPr="002663FD">
        <w:rPr>
          <w:rFonts w:ascii="Times New Roman" w:eastAsia="Times New Roman" w:hAnsi="Times New Roman"/>
          <w:sz w:val="28"/>
          <w:szCs w:val="28"/>
          <w:lang w:eastAsia="ru-RU"/>
        </w:rPr>
        <w:t>. Тобто лишається незрозумілим, яким чиним орган ліцензування, у даних правовідносинах, буде визначати дату зупинення дії ліцензії і що саме буде підтвердженням, що «</w:t>
      </w:r>
      <w:r w:rsidRPr="002663FD">
        <w:rPr>
          <w:rFonts w:ascii="Times New Roman" w:eastAsia="Times New Roman" w:hAnsi="Times New Roman"/>
          <w:i/>
          <w:sz w:val="28"/>
          <w:szCs w:val="28"/>
          <w:lang w:eastAsia="ru-RU"/>
        </w:rPr>
        <w:t>ліцензіат повинен був дізнатись про зупинення дії ліцензії».</w:t>
      </w:r>
    </w:p>
    <w:p w:rsidR="002663FD" w:rsidRPr="002663FD" w:rsidRDefault="002663FD" w:rsidP="002663FD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663FD">
        <w:rPr>
          <w:rFonts w:ascii="Times New Roman" w:eastAsia="Times New Roman" w:hAnsi="Times New Roman"/>
          <w:sz w:val="28"/>
          <w:szCs w:val="28"/>
          <w:lang w:eastAsia="ru-RU"/>
        </w:rPr>
        <w:t xml:space="preserve">Згідно законопроекту ліцензія, дія якої зупинена, відновлюється після закінчення строку, на який було зупинено її дію, тобто виходить,  що вона може бути відновлена автоматично без будь-якого усунення порушень, що стали причиною її зупинення. </w:t>
      </w:r>
    </w:p>
    <w:p w:rsidR="002663FD" w:rsidRPr="002663FD" w:rsidRDefault="002663FD" w:rsidP="002663FD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663FD">
        <w:rPr>
          <w:rFonts w:ascii="Times New Roman" w:eastAsia="Times New Roman" w:hAnsi="Times New Roman"/>
          <w:b/>
          <w:sz w:val="28"/>
          <w:szCs w:val="28"/>
          <w:lang w:eastAsia="ru-RU"/>
        </w:rPr>
        <w:t>Зважаючи на викладене, норми даного законопроекту є нечіткими та мають оціночних характер, що може призвести до вчинення корупційних правопорушень.</w:t>
      </w:r>
    </w:p>
    <w:p w:rsidR="002663FD" w:rsidRPr="002663FD" w:rsidRDefault="002663FD" w:rsidP="002663FD">
      <w:pPr>
        <w:spacing w:after="0" w:line="240" w:lineRule="auto"/>
        <w:ind w:firstLine="708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2663FD">
        <w:rPr>
          <w:rFonts w:ascii="Times New Roman" w:eastAsia="Times New Roman" w:hAnsi="Times New Roman"/>
          <w:sz w:val="28"/>
          <w:szCs w:val="28"/>
          <w:lang w:eastAsia="ru-RU"/>
        </w:rPr>
        <w:t>Законопроект пропонується повернути суб’єкту права законодавчої ініціативи на доопрацювання.</w:t>
      </w:r>
    </w:p>
    <w:p w:rsidR="002663FD" w:rsidRDefault="002663FD" w:rsidP="002663FD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663FD" w:rsidRDefault="002663FD" w:rsidP="002663FD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E3B73" w:rsidRPr="006E3B73" w:rsidRDefault="006E3B73" w:rsidP="006E3B73">
      <w:pPr>
        <w:spacing w:before="120" w:after="72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val="ru-RU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r w:rsidRPr="006E3B73">
        <w:rPr>
          <w:rFonts w:ascii="Times New Roman" w:eastAsia="Times New Roman" w:hAnsi="Times New Roman"/>
          <w:b/>
          <w:sz w:val="28"/>
          <w:szCs w:val="24"/>
          <w:lang w:eastAsia="ru-RU"/>
        </w:rPr>
        <w:t>Перший заступник Голови Комітету                                          Ю. Савчук</w:t>
      </w:r>
    </w:p>
    <w:p w:rsidR="002663FD" w:rsidRPr="006E3B73" w:rsidRDefault="002663FD" w:rsidP="002663FD">
      <w:pPr>
        <w:spacing w:before="120" w:after="720" w:line="240" w:lineRule="auto"/>
        <w:ind w:firstLine="720"/>
        <w:jc w:val="both"/>
        <w:rPr>
          <w:lang w:val="ru-RU"/>
        </w:rPr>
      </w:pPr>
    </w:p>
    <w:p w:rsidR="003816FA" w:rsidRDefault="003816FA"/>
    <w:sectPr w:rsidR="003816F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5D3C" w:rsidRDefault="00FA5D3C" w:rsidP="00A64EDD">
      <w:pPr>
        <w:spacing w:after="0" w:line="240" w:lineRule="auto"/>
      </w:pPr>
      <w:r>
        <w:separator/>
      </w:r>
    </w:p>
  </w:endnote>
  <w:endnote w:type="continuationSeparator" w:id="0">
    <w:p w:rsidR="00FA5D3C" w:rsidRDefault="00FA5D3C" w:rsidP="00A64E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5D3C" w:rsidRDefault="00FA5D3C" w:rsidP="00A64EDD">
      <w:pPr>
        <w:spacing w:after="0" w:line="240" w:lineRule="auto"/>
      </w:pPr>
      <w:r>
        <w:separator/>
      </w:r>
    </w:p>
  </w:footnote>
  <w:footnote w:type="continuationSeparator" w:id="0">
    <w:p w:rsidR="00FA5D3C" w:rsidRDefault="00FA5D3C" w:rsidP="00A64ED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0D0"/>
    <w:rsid w:val="002663FD"/>
    <w:rsid w:val="003720D0"/>
    <w:rsid w:val="003816FA"/>
    <w:rsid w:val="005A443C"/>
    <w:rsid w:val="006877E6"/>
    <w:rsid w:val="006E3B73"/>
    <w:rsid w:val="00A64EDD"/>
    <w:rsid w:val="00D60824"/>
    <w:rsid w:val="00DF162F"/>
    <w:rsid w:val="00F26F98"/>
    <w:rsid w:val="00FA5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AA5E91"/>
  <w15:chartTrackingRefBased/>
  <w15:docId w15:val="{7FF4D4B8-88BF-4F4F-AE1F-96580B937F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63FD"/>
    <w:pPr>
      <w:spacing w:line="254" w:lineRule="auto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663F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2663F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A64ED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A64EDD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A64ED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A64EDD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286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61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31007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9648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9862780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908925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1408991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99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5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80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24537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09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6519547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1228918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474303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6767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2496</Words>
  <Characters>1423</Characters>
  <Application>Microsoft Office Word</Application>
  <DocSecurity>0</DocSecurity>
  <Lines>11</Lines>
  <Paragraphs>7</Paragraphs>
  <ScaleCrop>false</ScaleCrop>
  <Company/>
  <LinksUpToDate>false</LinksUpToDate>
  <CharactersWithSpaces>3912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7</cp:revision>
  <dcterms:created xsi:type="dcterms:W3CDTF">2017-10-03T12:09:00Z</dcterms:created>
  <dcterms:modified xsi:type="dcterms:W3CDTF">2018-01-17T10:26:00Z</dcterms:modified>
</cp:coreProperties>
</file>