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10F2B" w:rsidRDefault="00410F2B" w:rsidP="00410F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10F2B" w:rsidRDefault="00410F2B" w:rsidP="00410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0F2B" w:rsidRDefault="00410F2B" w:rsidP="00410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0F2B" w:rsidRDefault="00410F2B" w:rsidP="00410F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F2B" w:rsidRDefault="00410F2B" w:rsidP="00410F2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деяких законів України (щодо правового врегулювання резюме </w:t>
      </w:r>
      <w:proofErr w:type="spellStart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>amicus</w:t>
      </w:r>
      <w:proofErr w:type="spellEnd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>curiae</w:t>
      </w:r>
      <w:proofErr w:type="spellEnd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 і висновків </w:t>
      </w:r>
      <w:proofErr w:type="spellStart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>amicus</w:t>
      </w:r>
      <w:proofErr w:type="spellEnd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>ombud</w:t>
      </w:r>
      <w:proofErr w:type="spellEnd"/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 Європейської Комісії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>За демократію через право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A77B82">
        <w:rPr>
          <w:rFonts w:ascii="Times New Roman" w:eastAsia="Times New Roman" w:hAnsi="Times New Roman"/>
          <w:sz w:val="28"/>
          <w:szCs w:val="24"/>
          <w:lang w:eastAsia="ru-RU"/>
        </w:rPr>
        <w:t xml:space="preserve"> (Венеціанська Комісія) в роботі Конституційного Суду України і Уповноваженого Верховної Ради України з прав людини)</w:t>
      </w:r>
      <w:r w:rsidRPr="00F06D96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10F2B" w:rsidRDefault="00410F2B" w:rsidP="00410F2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6362  від 12 вересня  2017р. доопрацьований</w:t>
      </w: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Ківалов С.В. </w:t>
      </w: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правової політики та правосуддя.</w:t>
      </w: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0F2B" w:rsidRDefault="00410F2B" w:rsidP="00410F2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77117" w:rsidRDefault="00410F2B" w:rsidP="00B771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77117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410F2B" w:rsidRDefault="00410F2B" w:rsidP="00410F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10F2B" w:rsidRDefault="00410F2B" w:rsidP="00410F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Законопроект</w:t>
      </w:r>
      <w:r w:rsid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ом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пропонує</w:t>
      </w:r>
      <w:r w:rsid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ться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надати право:</w:t>
      </w:r>
      <w:r w:rsid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Конституційному Суду в процесі провадження у справі </w:t>
      </w:r>
      <w:r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>звернутися до Венеціанської Комісії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із проханням про надання резюме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amicus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curiae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з питань, що стосуються справи.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 Уповноваженому ВРУ з прав людини звертатися до Венеціанська Комісія із проханням про надання висновків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amicus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ombud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з питань, віднесених до компетенції Уповноваженого.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</w:p>
    <w:p w:rsidR="00D737AD" w:rsidRPr="006C65F3" w:rsidRDefault="006C65F3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lastRenderedPageBreak/>
        <w:t>Та варто зауважити, в</w:t>
      </w:r>
      <w:r w:rsidR="00D737AD"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ідповідно до </w:t>
      </w:r>
      <w:r w:rsidR="00D737AD" w:rsidRPr="006C65F3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п</w:t>
      </w:r>
      <w:r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ункту</w:t>
      </w:r>
      <w:r w:rsidR="00D737AD" w:rsidRPr="006C65F3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 4 статті 3 Статуту Європейської Комісії </w:t>
      </w:r>
      <w:r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«</w:t>
      </w:r>
      <w:r w:rsidR="00D737AD" w:rsidRPr="006C65F3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За демократію через право</w:t>
      </w:r>
      <w:r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>»</w:t>
      </w:r>
      <w:r w:rsidR="00D737AD" w:rsidRPr="006C65F3">
        <w:rPr>
          <w:rFonts w:ascii="Times New Roman" w:eastAsia="Arial" w:hAnsi="Times New Roman" w:cs="Times New Roman"/>
          <w:i/>
          <w:color w:val="000000"/>
          <w:sz w:val="28"/>
          <w:szCs w:val="28"/>
          <w:lang w:eastAsia="uk-UA"/>
        </w:rPr>
        <w:t xml:space="preserve"> </w:t>
      </w:r>
      <w:r w:rsidR="00D737AD"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Комісія </w:t>
      </w:r>
      <w:r w:rsidR="00D737AD"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>співпрацює з конституційними судами</w:t>
      </w:r>
      <w:r w:rsidR="00D737AD"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та аналогічними інстанціями на двосторонній основі </w:t>
      </w:r>
      <w:r w:rsidR="00D737AD"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 xml:space="preserve">через посередництво з </w:t>
      </w:r>
      <w:r w:rsidR="00D737AD"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  <w:lang w:eastAsia="uk-UA"/>
        </w:rPr>
        <w:t>об</w:t>
      </w:r>
      <w:r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  <w:lang w:eastAsia="uk-UA"/>
        </w:rPr>
        <w:t>’</w:t>
      </w:r>
      <w:r w:rsidR="00D737AD"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u w:val="single"/>
          <w:lang w:eastAsia="uk-UA"/>
        </w:rPr>
        <w:t>єднаннями</w:t>
      </w:r>
      <w:r w:rsidR="00D737AD"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>, що представляють ці суди.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Однак, всупереч даному положенню автор законопроекту пропонує, щоб таке посередництво здійснював персонально </w:t>
      </w:r>
      <w:r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 xml:space="preserve">Голова Конституційного Суду 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(ст</w:t>
      </w:r>
      <w:r w:rsid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аття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21 законопроекту).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Оскільки відповідно до вимог Венеціанської Комісії таке посередництво повинне здійснюватися через об</w:t>
      </w:r>
      <w:r w:rsidR="006C65F3"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’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єднання, що представляють ці суди, то такі об</w:t>
      </w:r>
      <w:r w:rsidR="006C65F3"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’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єднання повинні бути створені із числа хоча б декількох суддів КСУ за квотним принципом.</w:t>
      </w:r>
    </w:p>
    <w:p w:rsidR="00D737AD" w:rsidRPr="006C65F3" w:rsidRDefault="00D737AD" w:rsidP="00D737AD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</w:pP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Персональне представництво Конституційного Суду перед Венеціанською Комісією безпосередньо його Головою </w:t>
      </w:r>
      <w:r w:rsidRPr="006C65F3">
        <w:rPr>
          <w:rFonts w:ascii="Times New Roman" w:eastAsia="Arial" w:hAnsi="Times New Roman" w:cs="Times New Roman"/>
          <w:b/>
          <w:color w:val="000000"/>
          <w:sz w:val="28"/>
          <w:szCs w:val="28"/>
          <w:lang w:eastAsia="uk-UA"/>
        </w:rPr>
        <w:t xml:space="preserve">порушує вимоги міжнародних норм і створює ризики для можливих зловживань зі сторони Голови КСУ </w:t>
      </w:r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при виборі предмету та обсягу питань для звернень з ними до Венеціанської Комісії в рамках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Аmicus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curiae</w:t>
      </w:r>
      <w:proofErr w:type="spellEnd"/>
      <w:r w:rsidRPr="006C65F3">
        <w:rPr>
          <w:rFonts w:ascii="Times New Roman" w:eastAsia="Arial" w:hAnsi="Times New Roman" w:cs="Times New Roman"/>
          <w:color w:val="000000"/>
          <w:sz w:val="28"/>
          <w:szCs w:val="28"/>
          <w:lang w:eastAsia="uk-UA"/>
        </w:rPr>
        <w:t>.</w:t>
      </w:r>
    </w:p>
    <w:p w:rsidR="00410F2B" w:rsidRPr="006C65F3" w:rsidRDefault="00410F2B" w:rsidP="00410F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F2B" w:rsidRPr="006C65F3" w:rsidRDefault="00410F2B" w:rsidP="00410F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573" w:rsidRDefault="007D3573" w:rsidP="007D357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D3573" w:rsidRDefault="007D3573" w:rsidP="007D357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D3573" w:rsidRDefault="007D3573" w:rsidP="007D35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</w:p>
    <w:p w:rsidR="00410F2B" w:rsidRDefault="00410F2B" w:rsidP="00410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10F2B" w:rsidRDefault="00410F2B" w:rsidP="00410F2B"/>
    <w:p w:rsidR="00410F2B" w:rsidRDefault="00410F2B" w:rsidP="00410F2B"/>
    <w:p w:rsidR="001910B1" w:rsidRDefault="001910B1"/>
    <w:sectPr w:rsidR="001910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015" w:rsidRDefault="00511015" w:rsidP="00410F2B">
      <w:pPr>
        <w:spacing w:after="0" w:line="240" w:lineRule="auto"/>
      </w:pPr>
      <w:r>
        <w:separator/>
      </w:r>
    </w:p>
  </w:endnote>
  <w:endnote w:type="continuationSeparator" w:id="0">
    <w:p w:rsidR="00511015" w:rsidRDefault="00511015" w:rsidP="00410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015" w:rsidRDefault="00511015" w:rsidP="00410F2B">
      <w:pPr>
        <w:spacing w:after="0" w:line="240" w:lineRule="auto"/>
      </w:pPr>
      <w:r>
        <w:separator/>
      </w:r>
    </w:p>
  </w:footnote>
  <w:footnote w:type="continuationSeparator" w:id="0">
    <w:p w:rsidR="00511015" w:rsidRDefault="00511015" w:rsidP="00410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C03CC5" w:rsidRDefault="000057EF" w:rsidP="00C03CC5">
    <w:pPr>
      <w:pStyle w:val="a3"/>
      <w:ind w:left="3686" w:firstLine="2410"/>
      <w:rPr>
        <w:rFonts w:ascii="Times New Roman" w:hAnsi="Times New Roman" w:cs="Times New Roman"/>
        <w:sz w:val="24"/>
        <w:szCs w:val="24"/>
      </w:rPr>
    </w:pPr>
    <w:r w:rsidRPr="00C03CC5">
      <w:rPr>
        <w:rFonts w:ascii="Times New Roman" w:hAnsi="Times New Roman" w:cs="Times New Roman"/>
        <w:sz w:val="24"/>
        <w:szCs w:val="24"/>
      </w:rPr>
      <w:t>Реєстр. №6</w:t>
    </w:r>
    <w:r w:rsidR="00410F2B">
      <w:rPr>
        <w:rFonts w:ascii="Times New Roman" w:hAnsi="Times New Roman" w:cs="Times New Roman"/>
        <w:sz w:val="24"/>
        <w:szCs w:val="24"/>
      </w:rPr>
      <w:t>362</w:t>
    </w:r>
    <w:r w:rsidRPr="00C03CC5">
      <w:rPr>
        <w:rFonts w:ascii="Times New Roman" w:hAnsi="Times New Roman" w:cs="Times New Roman"/>
        <w:sz w:val="24"/>
        <w:szCs w:val="24"/>
      </w:rPr>
      <w:t xml:space="preserve"> доопрацьований</w:t>
    </w:r>
  </w:p>
  <w:p w:rsidR="004C760D" w:rsidRPr="00C03CC5" w:rsidRDefault="000057EF" w:rsidP="00C03CC5">
    <w:pPr>
      <w:pStyle w:val="a3"/>
      <w:ind w:left="3686" w:firstLine="2410"/>
      <w:rPr>
        <w:rFonts w:ascii="Times New Roman" w:hAnsi="Times New Roman" w:cs="Times New Roman"/>
        <w:sz w:val="24"/>
        <w:szCs w:val="24"/>
      </w:rPr>
    </w:pPr>
    <w:r w:rsidRPr="00C03CC5">
      <w:rPr>
        <w:rFonts w:ascii="Times New Roman" w:hAnsi="Times New Roman" w:cs="Times New Roman"/>
        <w:sz w:val="24"/>
        <w:szCs w:val="24"/>
      </w:rPr>
      <w:t xml:space="preserve">від </w:t>
    </w:r>
    <w:r w:rsidR="00410F2B">
      <w:rPr>
        <w:rFonts w:ascii="Times New Roman" w:hAnsi="Times New Roman" w:cs="Times New Roman"/>
        <w:sz w:val="24"/>
        <w:szCs w:val="24"/>
      </w:rPr>
      <w:t>8</w:t>
    </w:r>
    <w:r w:rsidRPr="00C03CC5">
      <w:rPr>
        <w:rFonts w:ascii="Times New Roman" w:hAnsi="Times New Roman" w:cs="Times New Roman"/>
        <w:sz w:val="24"/>
        <w:szCs w:val="24"/>
      </w:rPr>
      <w:t xml:space="preserve"> вересня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AF"/>
    <w:rsid w:val="000057EF"/>
    <w:rsid w:val="001910B1"/>
    <w:rsid w:val="00410F2B"/>
    <w:rsid w:val="00511015"/>
    <w:rsid w:val="00550FE5"/>
    <w:rsid w:val="006C65F3"/>
    <w:rsid w:val="006D4AAF"/>
    <w:rsid w:val="007D3573"/>
    <w:rsid w:val="00823BD5"/>
    <w:rsid w:val="00A562B8"/>
    <w:rsid w:val="00B77117"/>
    <w:rsid w:val="00D7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CD454-741D-4253-A075-D2E81417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F2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0F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10F2B"/>
  </w:style>
  <w:style w:type="paragraph" w:styleId="a5">
    <w:name w:val="footer"/>
    <w:basedOn w:val="a"/>
    <w:link w:val="a6"/>
    <w:uiPriority w:val="99"/>
    <w:unhideWhenUsed/>
    <w:rsid w:val="00410F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10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2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1511</Words>
  <Characters>862</Characters>
  <Application>Microsoft Office Word</Application>
  <DocSecurity>0</DocSecurity>
  <Lines>7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2017-09-26T14:23:00Z</dcterms:created>
  <dcterms:modified xsi:type="dcterms:W3CDTF">2017-12-12T08:50:00Z</dcterms:modified>
</cp:coreProperties>
</file>