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4BB" w:rsidRPr="0046139D" w:rsidRDefault="00DE34BB" w:rsidP="0046139D">
      <w:pPr>
        <w:pStyle w:val="NoSpacing"/>
        <w:jc w:val="right"/>
        <w:rPr>
          <w:sz w:val="22"/>
          <w:lang w:val="uk-UA"/>
        </w:rPr>
      </w:pPr>
      <w:r w:rsidRPr="0046139D">
        <w:rPr>
          <w:sz w:val="22"/>
          <w:lang w:val="uk-UA"/>
        </w:rPr>
        <w:t xml:space="preserve">До реєстр № 4646-д </w:t>
      </w:r>
    </w:p>
    <w:p w:rsidR="00DE34BB" w:rsidRDefault="00DE34BB" w:rsidP="0046139D">
      <w:pPr>
        <w:pStyle w:val="NoSpacing"/>
        <w:jc w:val="right"/>
        <w:rPr>
          <w:lang w:val="uk-UA"/>
        </w:rPr>
      </w:pPr>
      <w:r w:rsidRPr="0046139D">
        <w:rPr>
          <w:sz w:val="22"/>
          <w:lang w:val="uk-UA"/>
        </w:rPr>
        <w:t>(друге</w:t>
      </w:r>
      <w:r>
        <w:rPr>
          <w:lang w:val="uk-UA"/>
        </w:rPr>
        <w:t xml:space="preserve"> </w:t>
      </w:r>
      <w:r w:rsidRPr="0046139D">
        <w:rPr>
          <w:sz w:val="22"/>
          <w:lang w:val="uk-UA"/>
        </w:rPr>
        <w:t>читання)</w:t>
      </w:r>
    </w:p>
    <w:p w:rsidR="00DE34BB" w:rsidRDefault="00DE34BB" w:rsidP="0063452F">
      <w:pPr>
        <w:jc w:val="right"/>
        <w:rPr>
          <w:sz w:val="24"/>
          <w:szCs w:val="24"/>
          <w:lang w:val="uk-UA"/>
        </w:rPr>
      </w:pPr>
    </w:p>
    <w:p w:rsidR="00DE34BB" w:rsidRDefault="00DE34BB" w:rsidP="0063452F">
      <w:pPr>
        <w:spacing w:after="0" w:line="240" w:lineRule="auto"/>
        <w:ind w:firstLine="709"/>
        <w:jc w:val="center"/>
        <w:rPr>
          <w:b/>
          <w:szCs w:val="24"/>
          <w:lang w:val="uk-UA" w:eastAsia="ru-RU"/>
        </w:rPr>
      </w:pPr>
    </w:p>
    <w:p w:rsidR="00DE34BB" w:rsidRDefault="00DE34BB" w:rsidP="0063452F">
      <w:pPr>
        <w:spacing w:after="0" w:line="240" w:lineRule="auto"/>
        <w:ind w:firstLine="709"/>
        <w:jc w:val="center"/>
        <w:rPr>
          <w:b/>
          <w:szCs w:val="24"/>
          <w:lang w:val="uk-UA" w:eastAsia="ru-RU"/>
        </w:rPr>
      </w:pPr>
    </w:p>
    <w:p w:rsidR="00DE34BB" w:rsidRPr="00B005D8" w:rsidRDefault="00DE34BB" w:rsidP="0063452F">
      <w:pPr>
        <w:spacing w:after="0" w:line="240" w:lineRule="auto"/>
        <w:ind w:firstLine="709"/>
        <w:jc w:val="center"/>
        <w:rPr>
          <w:b/>
          <w:szCs w:val="24"/>
          <w:lang w:val="uk-UA" w:eastAsia="ru-RU"/>
        </w:rPr>
      </w:pPr>
      <w:r w:rsidRPr="00B005D8">
        <w:rPr>
          <w:b/>
          <w:szCs w:val="24"/>
          <w:lang w:val="uk-UA" w:eastAsia="ru-RU"/>
        </w:rPr>
        <w:t>Зауваження</w:t>
      </w:r>
    </w:p>
    <w:p w:rsidR="00DE34BB" w:rsidRDefault="00DE34BB" w:rsidP="0063452F">
      <w:pPr>
        <w:spacing w:after="0" w:line="240" w:lineRule="auto"/>
        <w:ind w:firstLine="709"/>
        <w:jc w:val="center"/>
        <w:rPr>
          <w:b/>
          <w:szCs w:val="28"/>
          <w:lang w:val="uk-UA"/>
        </w:rPr>
      </w:pPr>
      <w:r w:rsidRPr="00B005D8">
        <w:rPr>
          <w:b/>
          <w:szCs w:val="28"/>
          <w:lang w:val="uk-UA" w:eastAsia="ru-RU"/>
        </w:rPr>
        <w:t xml:space="preserve">до проекту </w:t>
      </w:r>
      <w:r>
        <w:rPr>
          <w:b/>
          <w:szCs w:val="24"/>
          <w:lang w:val="uk-UA" w:eastAsia="ru-RU"/>
        </w:rPr>
        <w:t>З</w:t>
      </w:r>
      <w:r w:rsidRPr="00B005D8">
        <w:rPr>
          <w:b/>
          <w:szCs w:val="24"/>
          <w:lang w:val="uk-UA" w:eastAsia="ru-RU"/>
        </w:rPr>
        <w:t xml:space="preserve">акону України </w:t>
      </w:r>
      <w:r>
        <w:rPr>
          <w:b/>
          <w:szCs w:val="24"/>
          <w:lang w:val="uk-UA" w:eastAsia="ru-RU"/>
        </w:rPr>
        <w:t xml:space="preserve">про </w:t>
      </w:r>
      <w:r>
        <w:rPr>
          <w:b/>
          <w:szCs w:val="28"/>
          <w:lang w:val="uk-UA"/>
        </w:rPr>
        <w:t xml:space="preserve">внесення змін до Закону України «Про бухгалтерський облік та фінансову звітність в Україні» </w:t>
      </w:r>
    </w:p>
    <w:p w:rsidR="00DE34BB" w:rsidRDefault="00DE34BB" w:rsidP="0063452F">
      <w:pPr>
        <w:spacing w:after="0" w:line="240" w:lineRule="auto"/>
        <w:ind w:firstLine="709"/>
        <w:jc w:val="center"/>
        <w:rPr>
          <w:b/>
          <w:szCs w:val="24"/>
          <w:lang w:val="uk-UA" w:eastAsia="ru-RU"/>
        </w:rPr>
      </w:pPr>
      <w:r>
        <w:rPr>
          <w:b/>
          <w:szCs w:val="28"/>
          <w:lang w:val="uk-UA"/>
        </w:rPr>
        <w:t>(щодо удосконалення деяких положень)</w:t>
      </w:r>
      <w:r w:rsidRPr="00B005D8">
        <w:rPr>
          <w:b/>
          <w:szCs w:val="24"/>
          <w:lang w:val="uk-UA" w:eastAsia="ru-RU"/>
        </w:rPr>
        <w:t xml:space="preserve"> </w:t>
      </w:r>
    </w:p>
    <w:p w:rsidR="00DE34BB" w:rsidRPr="00B005D8" w:rsidRDefault="00DE34BB" w:rsidP="0063452F">
      <w:pPr>
        <w:spacing w:after="0" w:line="240" w:lineRule="auto"/>
        <w:ind w:firstLine="709"/>
        <w:jc w:val="center"/>
        <w:rPr>
          <w:b/>
          <w:szCs w:val="28"/>
          <w:lang w:val="uk-UA" w:eastAsia="ru-RU"/>
        </w:rPr>
      </w:pPr>
    </w:p>
    <w:p w:rsidR="00DE34BB" w:rsidRDefault="00DE34BB" w:rsidP="0063452F">
      <w:pPr>
        <w:spacing w:after="0" w:line="240" w:lineRule="auto"/>
        <w:ind w:firstLine="709"/>
        <w:jc w:val="both"/>
        <w:rPr>
          <w:szCs w:val="24"/>
          <w:lang w:val="uk-UA" w:eastAsia="ru-RU"/>
        </w:rPr>
      </w:pPr>
      <w:r w:rsidRPr="0063452F">
        <w:rPr>
          <w:szCs w:val="24"/>
          <w:lang w:val="uk-UA" w:eastAsia="ru-RU"/>
        </w:rPr>
        <w:t xml:space="preserve">У Головному юридичному управлінні розглянуто підготовлений до другого читання </w:t>
      </w:r>
      <w:r>
        <w:rPr>
          <w:szCs w:val="24"/>
          <w:lang w:val="uk-UA" w:eastAsia="ru-RU"/>
        </w:rPr>
        <w:t xml:space="preserve">проект </w:t>
      </w:r>
      <w:r w:rsidRPr="0063452F">
        <w:rPr>
          <w:szCs w:val="24"/>
          <w:lang w:val="uk-UA" w:eastAsia="ru-RU"/>
        </w:rPr>
        <w:t xml:space="preserve">Закону України про </w:t>
      </w:r>
      <w:r w:rsidRPr="0063452F">
        <w:rPr>
          <w:szCs w:val="28"/>
          <w:lang w:val="uk-UA"/>
        </w:rPr>
        <w:t>внесення змін до Закону України «Про бухгалтерський облік та фінансову звітність в Україні» (щодо удосконалення деяких положень)</w:t>
      </w:r>
      <w:r w:rsidRPr="0063452F">
        <w:rPr>
          <w:szCs w:val="24"/>
          <w:lang w:val="uk-UA" w:eastAsia="ru-RU"/>
        </w:rPr>
        <w:t xml:space="preserve">  (далі – законопроект)</w:t>
      </w:r>
      <w:r>
        <w:rPr>
          <w:szCs w:val="24"/>
          <w:lang w:val="uk-UA" w:eastAsia="ru-RU"/>
        </w:rPr>
        <w:t>, щодо положень якого слід зауважити таке.</w:t>
      </w:r>
    </w:p>
    <w:p w:rsidR="00DE34BB" w:rsidRDefault="00DE34BB" w:rsidP="00BF6B83">
      <w:pPr>
        <w:spacing w:after="0" w:line="240" w:lineRule="auto"/>
        <w:ind w:firstLine="709"/>
        <w:jc w:val="both"/>
        <w:rPr>
          <w:szCs w:val="28"/>
          <w:lang w:val="uk-UA" w:eastAsia="ru-RU"/>
        </w:rPr>
      </w:pPr>
      <w:r>
        <w:rPr>
          <w:szCs w:val="28"/>
          <w:lang w:val="uk-UA" w:eastAsia="ru-RU"/>
        </w:rPr>
        <w:t>1. Критерії віднесення підприємств до мікропідприємств, малих, середніх або великих підприємств, передбачені у підпункті 2 пункту 2 законопроекту, суперечать статті 55 Господарського кодексу України. Замість змін до зазначеної статті, у «Прикінцевих та перехідних положеннях» законопроекту міститься доручення Кабінету Міністрів України підготувати такі зміни, що суперечить конституційному принципу верховенства права та частині восьмій статті 90 Регламенту Верховної Ради України, відповідно до якої я</w:t>
      </w:r>
      <w:r w:rsidRPr="003314AB">
        <w:rPr>
          <w:rStyle w:val="st42"/>
          <w:szCs w:val="28"/>
          <w:lang w:val="uk-UA"/>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w:t>
      </w:r>
      <w:r>
        <w:rPr>
          <w:rStyle w:val="st42"/>
          <w:szCs w:val="28"/>
          <w:lang w:val="uk-UA"/>
        </w:rPr>
        <w:t>ціатором окремому законопроекті</w:t>
      </w:r>
      <w:r>
        <w:rPr>
          <w:szCs w:val="28"/>
          <w:lang w:val="uk-UA" w:eastAsia="ru-RU"/>
        </w:rPr>
        <w:t>.</w:t>
      </w:r>
    </w:p>
    <w:p w:rsidR="00DE34BB" w:rsidRDefault="00DE34BB" w:rsidP="00BF6B83">
      <w:pPr>
        <w:spacing w:after="0" w:line="240" w:lineRule="auto"/>
        <w:ind w:firstLine="709"/>
        <w:jc w:val="both"/>
        <w:rPr>
          <w:szCs w:val="28"/>
          <w:lang w:val="uk-UA" w:eastAsia="ru-RU"/>
        </w:rPr>
      </w:pPr>
      <w:r>
        <w:rPr>
          <w:szCs w:val="28"/>
          <w:lang w:val="uk-UA" w:eastAsia="ru-RU"/>
        </w:rPr>
        <w:t>2. Застосування іноземної валюти – євро – при встановленні критеріїв віднесення підприємств до мікропідприємств, малих, середніх або великих підприємств (пункт 2 законопроекту) та критеріїв для подання консолідованої фінансової звітності (пункт 9 законопроекту) суперечить статті 99 Конституції України, відповідно до якої грошовою одиницею України є гривня. За необхідності, у законодавстві може використовуватися посилання на еквівалент в іноземній валюті відповідної суми, вираженої у гривні.</w:t>
      </w:r>
    </w:p>
    <w:p w:rsidR="00DE34BB" w:rsidRPr="0046139D" w:rsidRDefault="00DE34BB" w:rsidP="0046139D">
      <w:pPr>
        <w:spacing w:after="0" w:line="240" w:lineRule="auto"/>
        <w:ind w:firstLine="709"/>
        <w:jc w:val="both"/>
        <w:rPr>
          <w:color w:val="000000"/>
          <w:szCs w:val="28"/>
          <w:lang w:val="uk-UA"/>
        </w:rPr>
      </w:pPr>
      <w:r>
        <w:rPr>
          <w:color w:val="000000"/>
          <w:szCs w:val="28"/>
          <w:lang w:val="uk-UA"/>
        </w:rPr>
        <w:t>3</w:t>
      </w:r>
      <w:r w:rsidRPr="0046139D">
        <w:rPr>
          <w:color w:val="000000"/>
          <w:szCs w:val="28"/>
          <w:lang w:val="uk-UA"/>
        </w:rPr>
        <w:t xml:space="preserve">. Низка положень </w:t>
      </w:r>
      <w:r w:rsidRPr="0046139D">
        <w:rPr>
          <w:color w:val="000000"/>
          <w:szCs w:val="28"/>
        </w:rPr>
        <w:t>законопроекту</w:t>
      </w:r>
      <w:r w:rsidRPr="0046139D">
        <w:rPr>
          <w:color w:val="000000"/>
          <w:szCs w:val="28"/>
          <w:lang w:val="uk-UA"/>
        </w:rPr>
        <w:t xml:space="preserve"> не відповідає конституційним принципам верховенства права, визначенню України правовою державою (статті 1 та 8 Конституції України), та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(абзац другий підпункту 5.4 пункту 5 мотивувальної частини Рішення Конституційного Суду України від 22.09.2005 року №5, від 29.06.2010 року №17-рп, від 11.10.2011 року №10-рп.). Положення законодавства, сформульовані з порушенням цього принципу, дають підстави для довільних тлумачень законодавчих норм, ускладнює їх правильне застосування,  а також створює підґрунтя для порушення прав учасників правовідносин. </w:t>
      </w:r>
    </w:p>
    <w:p w:rsidR="00DE34BB" w:rsidRPr="0046139D" w:rsidRDefault="00DE34BB" w:rsidP="0046139D">
      <w:pPr>
        <w:spacing w:after="0" w:line="240" w:lineRule="auto"/>
        <w:ind w:firstLine="709"/>
        <w:jc w:val="both"/>
        <w:rPr>
          <w:color w:val="000000"/>
          <w:szCs w:val="28"/>
          <w:lang w:val="uk-UA"/>
        </w:rPr>
      </w:pPr>
      <w:r>
        <w:rPr>
          <w:color w:val="000000"/>
          <w:szCs w:val="28"/>
          <w:lang w:val="uk-UA"/>
        </w:rPr>
        <w:t>Так, з</w:t>
      </w:r>
      <w:r w:rsidRPr="0046139D">
        <w:rPr>
          <w:color w:val="000000"/>
          <w:szCs w:val="28"/>
          <w:lang w:val="uk-UA"/>
        </w:rPr>
        <w:t xml:space="preserve">гідно із </w:t>
      </w:r>
      <w:r>
        <w:rPr>
          <w:color w:val="000000"/>
          <w:szCs w:val="28"/>
          <w:lang w:val="uk-UA"/>
        </w:rPr>
        <w:t xml:space="preserve">підпунктом 1 пункту 2 законопроекту </w:t>
      </w:r>
      <w:r w:rsidRPr="0046139D">
        <w:rPr>
          <w:color w:val="000000"/>
          <w:szCs w:val="28"/>
          <w:lang w:val="uk-UA"/>
        </w:rPr>
        <w:t xml:space="preserve">«Закон поширюється….. на операції з виконання державного та місцевих бюджетів і складання фінансової звітності про виконання бюджетів </w:t>
      </w:r>
      <w:r w:rsidRPr="0046139D">
        <w:rPr>
          <w:color w:val="000000"/>
          <w:szCs w:val="28"/>
          <w:u w:val="single"/>
          <w:lang w:val="uk-UA"/>
        </w:rPr>
        <w:t>з урахуванням бюджетного законодавства</w:t>
      </w:r>
      <w:r w:rsidRPr="0046139D">
        <w:rPr>
          <w:color w:val="000000"/>
          <w:szCs w:val="28"/>
          <w:lang w:val="uk-UA"/>
        </w:rPr>
        <w:t>». При цьому не узгоджуються з відповідними нормами Бюджетного кодексу України ті положення законопроекту, що стосуються:</w:t>
      </w:r>
    </w:p>
    <w:p w:rsidR="00DE34BB" w:rsidRPr="0046139D" w:rsidRDefault="00DE34BB" w:rsidP="0046139D">
      <w:pPr>
        <w:spacing w:after="0" w:line="240" w:lineRule="auto"/>
        <w:ind w:firstLine="709"/>
        <w:jc w:val="both"/>
        <w:rPr>
          <w:color w:val="000000"/>
          <w:szCs w:val="28"/>
          <w:lang w:val="uk-UA"/>
        </w:rPr>
      </w:pPr>
      <w:r w:rsidRPr="0046139D">
        <w:rPr>
          <w:color w:val="000000"/>
          <w:szCs w:val="28"/>
          <w:lang w:val="uk-UA"/>
        </w:rPr>
        <w:t>- «установлення складу та форм фінансової звітності про виконання бюджетів» (зміни до статті 11 Закону</w:t>
      </w:r>
      <w:r>
        <w:rPr>
          <w:color w:val="000000"/>
          <w:szCs w:val="28"/>
          <w:lang w:val="uk-UA"/>
        </w:rPr>
        <w:t xml:space="preserve"> про бухгалтерський облік</w:t>
      </w:r>
      <w:r w:rsidRPr="0046139D">
        <w:rPr>
          <w:color w:val="000000"/>
          <w:szCs w:val="28"/>
          <w:lang w:val="uk-UA"/>
        </w:rPr>
        <w:t xml:space="preserve">); </w:t>
      </w:r>
    </w:p>
    <w:p w:rsidR="00DE34BB" w:rsidRPr="0046139D" w:rsidRDefault="00DE34BB" w:rsidP="0046139D">
      <w:pPr>
        <w:spacing w:after="0" w:line="240" w:lineRule="auto"/>
        <w:ind w:firstLine="709"/>
        <w:jc w:val="both"/>
        <w:rPr>
          <w:color w:val="000000"/>
          <w:szCs w:val="28"/>
          <w:lang w:val="uk-UA"/>
        </w:rPr>
      </w:pPr>
      <w:r w:rsidRPr="0046139D">
        <w:rPr>
          <w:color w:val="000000"/>
          <w:szCs w:val="28"/>
          <w:lang w:val="uk-UA"/>
        </w:rPr>
        <w:t xml:space="preserve">- складання центральним органом виконавчої влади, що реалізує державну політику у сфері казначейського обслуговування бюджетних коштів консолідованої фінансової звітності про загальний майновий стан і результати діяльності суб’єктів державного сектору та бюджетів» (зміни до статті 12 Закону про бухгалтерський облік); </w:t>
      </w:r>
    </w:p>
    <w:p w:rsidR="00DE34BB" w:rsidRPr="0046139D" w:rsidRDefault="00DE34BB" w:rsidP="0046139D">
      <w:pPr>
        <w:spacing w:after="0" w:line="240" w:lineRule="auto"/>
        <w:ind w:firstLine="709"/>
        <w:jc w:val="both"/>
        <w:rPr>
          <w:color w:val="000000"/>
          <w:szCs w:val="28"/>
          <w:lang w:val="uk-UA"/>
        </w:rPr>
      </w:pPr>
      <w:r w:rsidRPr="0046139D">
        <w:rPr>
          <w:color w:val="000000"/>
          <w:szCs w:val="28"/>
          <w:lang w:val="uk-UA"/>
        </w:rPr>
        <w:t>- строків оприлюднення головними розпорядниками бюджетних коштів річної фінансової звітність, річної консолідованої фінансової звітності (зміни до статті 14 Закону про бухгалтерський облік).</w:t>
      </w:r>
    </w:p>
    <w:p w:rsidR="00DE34BB" w:rsidRPr="0046139D" w:rsidRDefault="00DE34BB" w:rsidP="0046139D">
      <w:pPr>
        <w:spacing w:after="0" w:line="240" w:lineRule="auto"/>
        <w:ind w:firstLine="709"/>
        <w:jc w:val="both"/>
        <w:rPr>
          <w:bCs/>
          <w:iCs/>
          <w:color w:val="000000"/>
          <w:szCs w:val="28"/>
          <w:lang w:val="uk-UA"/>
        </w:rPr>
      </w:pPr>
      <w:r>
        <w:rPr>
          <w:color w:val="000000"/>
          <w:szCs w:val="28"/>
          <w:lang w:val="uk-UA"/>
        </w:rPr>
        <w:t xml:space="preserve">Отже </w:t>
      </w:r>
      <w:r w:rsidRPr="0046139D">
        <w:rPr>
          <w:color w:val="000000"/>
          <w:szCs w:val="28"/>
          <w:lang w:val="uk-UA"/>
        </w:rPr>
        <w:t xml:space="preserve">запропонована </w:t>
      </w:r>
      <w:r>
        <w:rPr>
          <w:color w:val="000000"/>
          <w:szCs w:val="28"/>
          <w:lang w:val="uk-UA"/>
        </w:rPr>
        <w:t>законо</w:t>
      </w:r>
      <w:r w:rsidRPr="0046139D">
        <w:rPr>
          <w:color w:val="000000"/>
          <w:szCs w:val="28"/>
          <w:lang w:val="uk-UA"/>
        </w:rPr>
        <w:t xml:space="preserve">проектом редакція статті 2 Закону </w:t>
      </w:r>
      <w:r w:rsidRPr="00D4222C">
        <w:rPr>
          <w:color w:val="000000"/>
          <w:szCs w:val="28"/>
          <w:lang w:val="uk-UA"/>
        </w:rPr>
        <w:t>про бухгалтерський облік</w:t>
      </w:r>
      <w:r w:rsidRPr="00D4222C">
        <w:rPr>
          <w:bCs/>
          <w:iCs/>
          <w:color w:val="000000"/>
          <w:szCs w:val="28"/>
          <w:lang w:val="uk-UA"/>
        </w:rPr>
        <w:t xml:space="preserve"> </w:t>
      </w:r>
      <w:r>
        <w:rPr>
          <w:bCs/>
          <w:iCs/>
          <w:color w:val="000000"/>
          <w:szCs w:val="28"/>
          <w:lang w:val="uk-UA"/>
        </w:rPr>
        <w:t xml:space="preserve">призведе </w:t>
      </w:r>
      <w:r w:rsidRPr="0046139D">
        <w:rPr>
          <w:bCs/>
          <w:iCs/>
          <w:color w:val="000000"/>
          <w:szCs w:val="28"/>
          <w:lang w:val="uk-UA"/>
        </w:rPr>
        <w:t xml:space="preserve"> до виникнення колізії законодавчих норм, що по-різному визначають правила регулювання певного кола бюджетних відносин, а їх застосування на практиці залежатиме від вольового рішення посадової чи службової особи державного органу, що не виключає корупційних ризиків.</w:t>
      </w:r>
    </w:p>
    <w:p w:rsidR="00DE34BB" w:rsidRPr="0046139D" w:rsidRDefault="00DE34BB" w:rsidP="0046139D">
      <w:pPr>
        <w:spacing w:after="0" w:line="240" w:lineRule="auto"/>
        <w:ind w:firstLine="709"/>
        <w:jc w:val="both"/>
        <w:rPr>
          <w:color w:val="000000"/>
          <w:szCs w:val="28"/>
          <w:lang w:val="uk-UA"/>
        </w:rPr>
      </w:pPr>
      <w:r w:rsidRPr="0046139D">
        <w:rPr>
          <w:color w:val="000000"/>
          <w:szCs w:val="28"/>
          <w:lang w:val="uk-UA"/>
        </w:rPr>
        <w:t xml:space="preserve"> </w:t>
      </w:r>
      <w:r>
        <w:rPr>
          <w:color w:val="000000"/>
          <w:szCs w:val="28"/>
          <w:lang w:val="uk-UA"/>
        </w:rPr>
        <w:t>Так само не відповідають вимогам щодо викладення правових норм п</w:t>
      </w:r>
      <w:r w:rsidRPr="0046139D">
        <w:rPr>
          <w:color w:val="000000"/>
          <w:szCs w:val="28"/>
          <w:lang w:val="uk-UA"/>
        </w:rPr>
        <w:t>оложення статті 6 законопроекту щодо розподілу компетенції у сфері методологічного забезпечення бухгалтерського обліку</w:t>
      </w:r>
      <w:r>
        <w:rPr>
          <w:color w:val="000000"/>
          <w:szCs w:val="28"/>
          <w:lang w:val="uk-UA"/>
        </w:rPr>
        <w:t>, які</w:t>
      </w:r>
      <w:r w:rsidRPr="0046139D">
        <w:rPr>
          <w:color w:val="000000"/>
          <w:szCs w:val="28"/>
          <w:lang w:val="uk-UA"/>
        </w:rPr>
        <w:t xml:space="preserve"> допускають дублювання повноважень та неузг</w:t>
      </w:r>
      <w:r>
        <w:rPr>
          <w:color w:val="000000"/>
          <w:szCs w:val="28"/>
          <w:lang w:val="uk-UA"/>
        </w:rPr>
        <w:t>одженість дій державних органів. Це</w:t>
      </w:r>
      <w:r w:rsidRPr="0046139D">
        <w:rPr>
          <w:color w:val="000000"/>
          <w:szCs w:val="28"/>
          <w:lang w:val="uk-UA"/>
        </w:rPr>
        <w:t xml:space="preserve"> суперечить статті 19 Конституції України, згідно з якими органи державної влади їх посадові особи зобов'язані діяти лише на підставі, в межах повноважень та у спосіб, що передбачені законами. </w:t>
      </w:r>
    </w:p>
    <w:p w:rsidR="00DE34BB" w:rsidRPr="0046139D" w:rsidRDefault="00DE34BB" w:rsidP="003314AB">
      <w:pPr>
        <w:spacing w:after="0" w:line="240" w:lineRule="auto"/>
        <w:ind w:firstLine="709"/>
        <w:jc w:val="both"/>
        <w:rPr>
          <w:color w:val="000000"/>
          <w:szCs w:val="28"/>
          <w:lang w:val="uk-UA"/>
        </w:rPr>
      </w:pPr>
      <w:r>
        <w:rPr>
          <w:color w:val="000000"/>
          <w:szCs w:val="28"/>
          <w:lang w:val="uk-UA"/>
        </w:rPr>
        <w:t>В законопроекті також використовуються вирази, які не несуть належного правового навантаження та допускають неоднозначне тлумачення (</w:t>
      </w:r>
      <w:r w:rsidRPr="0046139D">
        <w:rPr>
          <w:color w:val="000000"/>
          <w:szCs w:val="28"/>
          <w:lang w:val="uk-UA"/>
        </w:rPr>
        <w:t xml:space="preserve">«ризики та невизначеності його діяльності» </w:t>
      </w:r>
      <w:r>
        <w:rPr>
          <w:color w:val="000000"/>
          <w:szCs w:val="28"/>
          <w:lang w:val="uk-UA"/>
        </w:rPr>
        <w:t xml:space="preserve"> -  підпункт 4 пункту 1 законопроекту, </w:t>
      </w:r>
      <w:r w:rsidRPr="0046139D">
        <w:rPr>
          <w:color w:val="000000"/>
          <w:szCs w:val="28"/>
          <w:lang w:val="uk-UA"/>
        </w:rPr>
        <w:t xml:space="preserve">«тощо» </w:t>
      </w:r>
      <w:r>
        <w:rPr>
          <w:color w:val="000000"/>
          <w:szCs w:val="28"/>
          <w:lang w:val="uk-UA"/>
        </w:rPr>
        <w:t>-  під</w:t>
      </w:r>
      <w:r w:rsidRPr="0046139D">
        <w:rPr>
          <w:color w:val="000000"/>
          <w:szCs w:val="28"/>
          <w:lang w:val="uk-UA"/>
        </w:rPr>
        <w:t xml:space="preserve">пункт 2 </w:t>
      </w:r>
      <w:r>
        <w:rPr>
          <w:color w:val="000000"/>
          <w:szCs w:val="28"/>
          <w:lang w:val="uk-UA"/>
        </w:rPr>
        <w:t>пункту</w:t>
      </w:r>
      <w:r w:rsidRPr="0046139D">
        <w:rPr>
          <w:color w:val="000000"/>
          <w:szCs w:val="28"/>
          <w:lang w:val="uk-UA"/>
        </w:rPr>
        <w:t xml:space="preserve"> 8 законопроекту).</w:t>
      </w:r>
    </w:p>
    <w:p w:rsidR="00DE34BB" w:rsidRDefault="00DE34BB" w:rsidP="0063452F">
      <w:pPr>
        <w:spacing w:after="0" w:line="240" w:lineRule="auto"/>
        <w:ind w:firstLine="709"/>
        <w:jc w:val="both"/>
        <w:rPr>
          <w:color w:val="000000"/>
          <w:szCs w:val="28"/>
          <w:lang w:val="uk-UA"/>
        </w:rPr>
      </w:pPr>
      <w:r w:rsidRPr="0046139D">
        <w:rPr>
          <w:color w:val="000000"/>
          <w:szCs w:val="28"/>
          <w:lang w:val="uk-UA"/>
        </w:rPr>
        <w:t xml:space="preserve">Відтак законопроект потребує доопрацювання </w:t>
      </w:r>
      <w:r>
        <w:rPr>
          <w:color w:val="000000"/>
          <w:szCs w:val="28"/>
          <w:lang w:val="uk-UA"/>
        </w:rPr>
        <w:t xml:space="preserve">як з метою забезпечення відповідності законодавству, так і редакційного. Відповідно до </w:t>
      </w:r>
      <w:r w:rsidRPr="0046139D">
        <w:rPr>
          <w:color w:val="000000"/>
          <w:szCs w:val="28"/>
          <w:lang w:val="uk-UA"/>
        </w:rPr>
        <w:t>принципу юридичної визначеності закону</w:t>
      </w:r>
      <w:r>
        <w:rPr>
          <w:color w:val="000000"/>
          <w:szCs w:val="28"/>
          <w:lang w:val="uk-UA"/>
        </w:rPr>
        <w:t xml:space="preserve">, законодавчі норми мають бути сформульовані таким чином, щоб забезпечити їх однозначне розуміння при правозастосуванні, щоб </w:t>
      </w:r>
      <w:r w:rsidRPr="0046139D">
        <w:rPr>
          <w:color w:val="000000"/>
          <w:szCs w:val="28"/>
          <w:lang w:val="uk-UA"/>
        </w:rPr>
        <w:t>кожен суб’єкт, застосовуючи норми закону, міг чітко усвідомлювати їх зміст.</w:t>
      </w:r>
    </w:p>
    <w:p w:rsidR="00DE34BB" w:rsidRPr="0063452F" w:rsidRDefault="00DE34BB" w:rsidP="0063452F">
      <w:pPr>
        <w:spacing w:after="0" w:line="240" w:lineRule="auto"/>
        <w:ind w:firstLine="709"/>
        <w:jc w:val="both"/>
        <w:rPr>
          <w:szCs w:val="24"/>
          <w:lang w:val="uk-UA" w:eastAsia="ru-RU"/>
        </w:rPr>
      </w:pPr>
    </w:p>
    <w:p w:rsidR="00DE34BB" w:rsidRDefault="00DE34BB" w:rsidP="0063452F">
      <w:pPr>
        <w:pStyle w:val="NoSpacing"/>
        <w:jc w:val="both"/>
        <w:rPr>
          <w:b/>
          <w:lang w:val="uk-UA"/>
        </w:rPr>
      </w:pPr>
      <w:r>
        <w:rPr>
          <w:b/>
          <w:lang w:val="uk-UA"/>
        </w:rPr>
        <w:t>Заступник керівника</w:t>
      </w:r>
    </w:p>
    <w:p w:rsidR="00DE34BB" w:rsidRPr="0063452F" w:rsidRDefault="00DE34BB" w:rsidP="00691976">
      <w:pPr>
        <w:pStyle w:val="NoSpacing"/>
        <w:jc w:val="both"/>
        <w:rPr>
          <w:lang w:val="uk-UA"/>
        </w:rPr>
      </w:pPr>
      <w:r>
        <w:rPr>
          <w:b/>
          <w:lang w:val="uk-UA"/>
        </w:rPr>
        <w:t>Головного управління                                                                 В. МІЛОВАНОВ</w:t>
      </w:r>
      <w:bookmarkStart w:id="0" w:name="_GoBack"/>
      <w:bookmarkEnd w:id="0"/>
    </w:p>
    <w:sectPr w:rsidR="00DE34BB" w:rsidRPr="0063452F" w:rsidSect="00691976">
      <w:footerReference w:type="default" r:id="rId6"/>
      <w:pgSz w:w="11906" w:h="16838"/>
      <w:pgMar w:top="850" w:right="850" w:bottom="850" w:left="1417"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4BB" w:rsidRDefault="00DE34BB" w:rsidP="00D4222C">
      <w:pPr>
        <w:spacing w:after="0" w:line="240" w:lineRule="auto"/>
      </w:pPr>
      <w:r>
        <w:separator/>
      </w:r>
    </w:p>
  </w:endnote>
  <w:endnote w:type="continuationSeparator" w:id="0">
    <w:p w:rsidR="00DE34BB" w:rsidRDefault="00DE34BB" w:rsidP="00D422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4BB" w:rsidRDefault="00DE34BB">
    <w:pPr>
      <w:pStyle w:val="Footer"/>
      <w:jc w:val="right"/>
    </w:pPr>
    <w:fldSimple w:instr="PAGE   \* MERGEFORMAT">
      <w:r w:rsidRPr="00B15518">
        <w:rPr>
          <w:noProof/>
          <w:lang w:val="uk-UA"/>
        </w:rPr>
        <w:t>2</w:t>
      </w:r>
    </w:fldSimple>
  </w:p>
  <w:p w:rsidR="00DE34BB" w:rsidRDefault="00DE34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4BB" w:rsidRDefault="00DE34BB" w:rsidP="00D4222C">
      <w:pPr>
        <w:spacing w:after="0" w:line="240" w:lineRule="auto"/>
      </w:pPr>
      <w:r>
        <w:separator/>
      </w:r>
    </w:p>
  </w:footnote>
  <w:footnote w:type="continuationSeparator" w:id="0">
    <w:p w:rsidR="00DE34BB" w:rsidRDefault="00DE34BB" w:rsidP="00D4222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452F"/>
    <w:rsid w:val="003314AB"/>
    <w:rsid w:val="0046139D"/>
    <w:rsid w:val="005204CF"/>
    <w:rsid w:val="00582ABE"/>
    <w:rsid w:val="005F2FC8"/>
    <w:rsid w:val="006343EF"/>
    <w:rsid w:val="0063452F"/>
    <w:rsid w:val="00691976"/>
    <w:rsid w:val="008B7B52"/>
    <w:rsid w:val="008E11E3"/>
    <w:rsid w:val="00914F45"/>
    <w:rsid w:val="00B005D8"/>
    <w:rsid w:val="00B15518"/>
    <w:rsid w:val="00BF6B83"/>
    <w:rsid w:val="00C17B0A"/>
    <w:rsid w:val="00C6469C"/>
    <w:rsid w:val="00CB75C4"/>
    <w:rsid w:val="00D4222C"/>
    <w:rsid w:val="00DE34BB"/>
    <w:rsid w:val="00E1115E"/>
    <w:rsid w:val="00E2019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52F"/>
    <w:pPr>
      <w:spacing w:after="160" w:line="259" w:lineRule="auto"/>
    </w:pPr>
    <w:rPr>
      <w:sz w:val="28"/>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3452F"/>
    <w:rPr>
      <w:sz w:val="28"/>
      <w:lang w:val="ru-RU"/>
    </w:rPr>
  </w:style>
  <w:style w:type="paragraph" w:customStyle="1" w:styleId="ParagraphStyle">
    <w:name w:val="Paragraph Style"/>
    <w:uiPriority w:val="99"/>
    <w:rsid w:val="00BF6B83"/>
    <w:pPr>
      <w:autoSpaceDE w:val="0"/>
      <w:autoSpaceDN w:val="0"/>
      <w:adjustRightInd w:val="0"/>
    </w:pPr>
    <w:rPr>
      <w:rFonts w:ascii="Courier New" w:hAnsi="Courier New" w:cs="Courier New"/>
      <w:sz w:val="24"/>
      <w:szCs w:val="24"/>
      <w:lang w:val="ru-RU"/>
    </w:rPr>
  </w:style>
  <w:style w:type="paragraph" w:customStyle="1" w:styleId="Igor">
    <w:name w:val="Igor"/>
    <w:basedOn w:val="Normal"/>
    <w:autoRedefine/>
    <w:uiPriority w:val="99"/>
    <w:rsid w:val="00BF6B83"/>
    <w:pPr>
      <w:spacing w:before="120" w:after="120" w:line="240" w:lineRule="auto"/>
      <w:ind w:firstLine="709"/>
      <w:jc w:val="both"/>
    </w:pPr>
    <w:rPr>
      <w:rFonts w:eastAsia="Times New Roman"/>
      <w:szCs w:val="28"/>
      <w:lang w:val="uk-UA" w:eastAsia="ru-RU"/>
    </w:rPr>
  </w:style>
  <w:style w:type="paragraph" w:customStyle="1" w:styleId="st2">
    <w:name w:val="st2"/>
    <w:uiPriority w:val="99"/>
    <w:rsid w:val="00BF6B83"/>
    <w:pPr>
      <w:autoSpaceDE w:val="0"/>
      <w:autoSpaceDN w:val="0"/>
      <w:adjustRightInd w:val="0"/>
      <w:spacing w:after="120"/>
      <w:ind w:firstLine="360"/>
      <w:jc w:val="both"/>
    </w:pPr>
    <w:rPr>
      <w:rFonts w:ascii="Courier New" w:hAnsi="Courier New" w:cs="Courier New"/>
      <w:sz w:val="24"/>
      <w:szCs w:val="24"/>
      <w:lang w:val="ru-RU"/>
    </w:rPr>
  </w:style>
  <w:style w:type="character" w:customStyle="1" w:styleId="st42">
    <w:name w:val="st42"/>
    <w:uiPriority w:val="99"/>
    <w:rsid w:val="00BF6B83"/>
    <w:rPr>
      <w:rFonts w:ascii="Times New Roman" w:hAnsi="Times New Roman"/>
      <w:color w:val="000000"/>
      <w:sz w:val="28"/>
    </w:rPr>
  </w:style>
  <w:style w:type="paragraph" w:styleId="Header">
    <w:name w:val="header"/>
    <w:basedOn w:val="Normal"/>
    <w:link w:val="HeaderChar"/>
    <w:uiPriority w:val="99"/>
    <w:rsid w:val="00D4222C"/>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D4222C"/>
    <w:rPr>
      <w:rFonts w:cs="Times New Roman"/>
      <w:lang w:val="ru-RU"/>
    </w:rPr>
  </w:style>
  <w:style w:type="paragraph" w:styleId="Footer">
    <w:name w:val="footer"/>
    <w:basedOn w:val="Normal"/>
    <w:link w:val="FooterChar"/>
    <w:uiPriority w:val="99"/>
    <w:rsid w:val="00D4222C"/>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D4222C"/>
    <w:rPr>
      <w:rFonts w:cs="Times New Roman"/>
      <w:lang w:val="ru-RU"/>
    </w:rPr>
  </w:style>
  <w:style w:type="paragraph" w:styleId="BalloonText">
    <w:name w:val="Balloon Text"/>
    <w:basedOn w:val="Normal"/>
    <w:link w:val="BalloonTextChar"/>
    <w:uiPriority w:val="99"/>
    <w:semiHidden/>
    <w:rsid w:val="00D422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4222C"/>
    <w:rPr>
      <w:rFonts w:ascii="Segoe UI" w:hAnsi="Segoe UI" w:cs="Segoe UI"/>
      <w:sz w:val="18"/>
      <w:szCs w:val="18"/>
      <w:lang w:val="ru-RU"/>
    </w:rPr>
  </w:style>
</w:styles>
</file>

<file path=word/webSettings.xml><?xml version="1.0" encoding="utf-8"?>
<w:webSettings xmlns:r="http://schemas.openxmlformats.org/officeDocument/2006/relationships" xmlns:w="http://schemas.openxmlformats.org/wordprocessingml/2006/main">
  <w:divs>
    <w:div w:id="15525757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774</Words>
  <Characters>4412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Саченко Ірина Павлівна</dc:creator>
  <cp:keywords/>
  <dc:description/>
  <cp:lastModifiedBy>OSCE</cp:lastModifiedBy>
  <cp:revision>3</cp:revision>
  <cp:lastPrinted>2017-07-12T10:28:00Z</cp:lastPrinted>
  <dcterms:created xsi:type="dcterms:W3CDTF">2017-07-12T10:55:00Z</dcterms:created>
  <dcterms:modified xsi:type="dcterms:W3CDTF">2017-07-12T12:28:00Z</dcterms:modified>
</cp:coreProperties>
</file>