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4D4" w:rsidRPr="00F96407" w:rsidRDefault="004054D4" w:rsidP="004054D4">
      <w:pPr>
        <w:ind w:firstLine="567"/>
        <w:jc w:val="center"/>
        <w:rPr>
          <w:b/>
          <w:sz w:val="28"/>
          <w:szCs w:val="28"/>
        </w:rPr>
      </w:pPr>
      <w:r w:rsidRPr="00F96407">
        <w:rPr>
          <w:b/>
          <w:sz w:val="28"/>
          <w:szCs w:val="28"/>
        </w:rPr>
        <w:t>ВИСНОВОК</w:t>
      </w:r>
    </w:p>
    <w:p w:rsidR="004054D4" w:rsidRPr="00F96407" w:rsidRDefault="004054D4" w:rsidP="004054D4">
      <w:pPr>
        <w:ind w:firstLine="567"/>
        <w:jc w:val="center"/>
        <w:rPr>
          <w:b/>
          <w:sz w:val="28"/>
          <w:szCs w:val="28"/>
        </w:rPr>
      </w:pPr>
      <w:r w:rsidRPr="00F96407">
        <w:rPr>
          <w:b/>
          <w:sz w:val="28"/>
          <w:szCs w:val="28"/>
        </w:rPr>
        <w:t>Комітету Верховної Ради України з питань європейської інтеграції</w:t>
      </w:r>
    </w:p>
    <w:p w:rsidR="00F96407" w:rsidRDefault="004054D4" w:rsidP="00F96407">
      <w:pPr>
        <w:ind w:firstLine="567"/>
        <w:jc w:val="center"/>
        <w:rPr>
          <w:b/>
          <w:sz w:val="28"/>
          <w:szCs w:val="28"/>
        </w:rPr>
      </w:pPr>
      <w:r w:rsidRPr="00F96407">
        <w:rPr>
          <w:b/>
          <w:sz w:val="28"/>
          <w:szCs w:val="28"/>
        </w:rPr>
        <w:t xml:space="preserve">щодо проекту Закону України </w:t>
      </w:r>
    </w:p>
    <w:p w:rsidR="00F96407" w:rsidRPr="00F96407" w:rsidRDefault="00F96407" w:rsidP="00F96407">
      <w:pPr>
        <w:ind w:firstLine="567"/>
        <w:jc w:val="center"/>
        <w:rPr>
          <w:b/>
          <w:sz w:val="28"/>
          <w:szCs w:val="28"/>
        </w:rPr>
      </w:pPr>
      <w:r w:rsidRPr="00F96407">
        <w:rPr>
          <w:b/>
          <w:sz w:val="28"/>
          <w:szCs w:val="28"/>
        </w:rPr>
        <w:t xml:space="preserve">«Про внесення змін до Кодексу законів про працю України (щодо порядку відшкодування шкоди, заподіяної працівником)» </w:t>
      </w:r>
    </w:p>
    <w:p w:rsidR="004054D4" w:rsidRPr="00F96407" w:rsidRDefault="00F96407" w:rsidP="004054D4">
      <w:pPr>
        <w:ind w:firstLine="567"/>
        <w:jc w:val="center"/>
        <w:rPr>
          <w:b/>
          <w:sz w:val="28"/>
          <w:szCs w:val="28"/>
        </w:rPr>
      </w:pPr>
      <w:r w:rsidRPr="00F96407">
        <w:rPr>
          <w:b/>
          <w:sz w:val="28"/>
          <w:szCs w:val="28"/>
        </w:rPr>
        <w:t xml:space="preserve"> </w:t>
      </w:r>
      <w:r w:rsidR="004054D4" w:rsidRPr="00F96407">
        <w:rPr>
          <w:b/>
          <w:sz w:val="28"/>
          <w:szCs w:val="28"/>
        </w:rPr>
        <w:t xml:space="preserve">(реєстр. № </w:t>
      </w:r>
      <w:r>
        <w:rPr>
          <w:b/>
          <w:sz w:val="28"/>
          <w:szCs w:val="28"/>
        </w:rPr>
        <w:t>6662</w:t>
      </w:r>
      <w:r w:rsidR="004054D4" w:rsidRPr="00F96407">
        <w:rPr>
          <w:b/>
          <w:sz w:val="28"/>
          <w:szCs w:val="28"/>
        </w:rPr>
        <w:t xml:space="preserve"> від </w:t>
      </w:r>
      <w:r>
        <w:rPr>
          <w:b/>
          <w:sz w:val="28"/>
          <w:szCs w:val="28"/>
        </w:rPr>
        <w:t>30</w:t>
      </w:r>
      <w:r w:rsidR="004054D4" w:rsidRPr="00F96407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06</w:t>
      </w:r>
      <w:r w:rsidR="004054D4" w:rsidRPr="00F96407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7</w:t>
      </w:r>
      <w:r w:rsidR="004054D4" w:rsidRPr="00F96407">
        <w:rPr>
          <w:b/>
          <w:sz w:val="28"/>
          <w:szCs w:val="28"/>
        </w:rPr>
        <w:t xml:space="preserve"> р., </w:t>
      </w:r>
      <w:proofErr w:type="spellStart"/>
      <w:r>
        <w:rPr>
          <w:b/>
          <w:sz w:val="28"/>
          <w:szCs w:val="28"/>
        </w:rPr>
        <w:t>н.д</w:t>
      </w:r>
      <w:proofErr w:type="spellEnd"/>
      <w:r>
        <w:rPr>
          <w:b/>
          <w:sz w:val="28"/>
          <w:szCs w:val="28"/>
        </w:rPr>
        <w:t>. В. Мисик</w:t>
      </w:r>
      <w:r w:rsidR="004054D4" w:rsidRPr="00F96407">
        <w:rPr>
          <w:b/>
          <w:sz w:val="28"/>
          <w:szCs w:val="28"/>
        </w:rPr>
        <w:t>)</w:t>
      </w:r>
    </w:p>
    <w:p w:rsidR="004054D4" w:rsidRPr="00F96407" w:rsidRDefault="004054D4" w:rsidP="004054D4">
      <w:pPr>
        <w:ind w:firstLine="567"/>
        <w:jc w:val="center"/>
        <w:rPr>
          <w:b/>
          <w:sz w:val="28"/>
          <w:szCs w:val="28"/>
        </w:rPr>
      </w:pPr>
      <w:r w:rsidRPr="00F96407">
        <w:rPr>
          <w:b/>
          <w:sz w:val="28"/>
          <w:szCs w:val="28"/>
        </w:rPr>
        <w:t xml:space="preserve"> </w:t>
      </w:r>
    </w:p>
    <w:p w:rsidR="004054D4" w:rsidRPr="00F96407" w:rsidRDefault="004054D4" w:rsidP="004054D4">
      <w:pPr>
        <w:numPr>
          <w:ilvl w:val="0"/>
          <w:numId w:val="1"/>
        </w:numPr>
        <w:autoSpaceDE/>
        <w:autoSpaceDN/>
        <w:jc w:val="both"/>
        <w:rPr>
          <w:b/>
          <w:bCs/>
          <w:sz w:val="28"/>
          <w:szCs w:val="28"/>
        </w:rPr>
      </w:pPr>
      <w:r w:rsidRPr="00F96407">
        <w:rPr>
          <w:b/>
          <w:bCs/>
          <w:sz w:val="28"/>
          <w:szCs w:val="28"/>
        </w:rPr>
        <w:t>Загальна характеристика законопроекту.</w:t>
      </w:r>
    </w:p>
    <w:p w:rsidR="00F96407" w:rsidRDefault="00F96407" w:rsidP="00F96407">
      <w:pPr>
        <w:pStyle w:val="1"/>
        <w:spacing w:before="120"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4E25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згідно з пояснювальною запискою, розроблено з метою удосконалення законодавчо закріпленого порядку покриття шкоди, заподіяної працівником роботодавцю. Для цього законопроектом пропонується внести зміни до статей 130 та 136 Кодексу законів про працю України.</w:t>
      </w:r>
    </w:p>
    <w:p w:rsidR="00F96407" w:rsidRPr="00F96407" w:rsidRDefault="00F96407" w:rsidP="00F96407">
      <w:pPr>
        <w:pStyle w:val="1"/>
        <w:spacing w:before="120"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054D4" w:rsidRPr="00F96407" w:rsidRDefault="004054D4" w:rsidP="004054D4">
      <w:pPr>
        <w:spacing w:before="60"/>
        <w:ind w:firstLine="567"/>
        <w:jc w:val="both"/>
        <w:rPr>
          <w:b/>
          <w:bCs/>
          <w:sz w:val="28"/>
          <w:szCs w:val="28"/>
        </w:rPr>
      </w:pPr>
      <w:r w:rsidRPr="00F96407">
        <w:rPr>
          <w:rFonts w:eastAsia="Verdana"/>
          <w:b/>
          <w:bCs/>
          <w:sz w:val="28"/>
          <w:szCs w:val="28"/>
        </w:rPr>
        <w:t>2.  </w:t>
      </w:r>
      <w:r w:rsidRPr="00F96407">
        <w:rPr>
          <w:b/>
          <w:bCs/>
          <w:sz w:val="28"/>
          <w:szCs w:val="28"/>
        </w:rPr>
        <w:t>Належність законопроекту за предметом правового регулювання до сфери дії права Європейського Союзу.</w:t>
      </w:r>
    </w:p>
    <w:p w:rsidR="00F96407" w:rsidRPr="00E82351" w:rsidRDefault="00F96407" w:rsidP="00F96407">
      <w:pPr>
        <w:pStyle w:val="1"/>
        <w:spacing w:before="120" w:after="12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8D2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Предмет правового регулювання законопроекту охоплюється положеннями глави 21 «Співробітництво у галузі зайнятості, соціальної політики та рівних можливостей» розділу V «Економічне та галузеве співробітництво» та Додатку XL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</w:t>
      </w:r>
      <w:r w:rsidRPr="00E823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іншої сторони (далі – Угода про асоціацію).</w:t>
      </w:r>
    </w:p>
    <w:p w:rsidR="00F96407" w:rsidRDefault="00F96407" w:rsidP="00F96407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823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Правовідносини, які є предметом правового регулювання законопроекту, регулюються Хартією основних прав Європейського Союзу </w:t>
      </w:r>
      <w:r w:rsidRPr="00F96407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(</w:t>
      </w:r>
      <w:proofErr w:type="spellStart"/>
      <w:r w:rsidRPr="00F96407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Official</w:t>
      </w:r>
      <w:proofErr w:type="spellEnd"/>
      <w:r w:rsidRPr="00F96407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F96407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Journal</w:t>
      </w:r>
      <w:proofErr w:type="spellEnd"/>
      <w:r w:rsidRPr="00F96407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 C 326, 26.10.2012, p. 392 – 392)</w:t>
      </w:r>
      <w:r w:rsidRPr="00E823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(далі – Хартія), а також на рівні національного законодавства держав-членів ЄС.</w:t>
      </w:r>
    </w:p>
    <w:p w:rsidR="00F96407" w:rsidRDefault="004054D4" w:rsidP="00F96407">
      <w:pPr>
        <w:spacing w:before="240"/>
        <w:ind w:firstLine="567"/>
        <w:jc w:val="both"/>
        <w:rPr>
          <w:b/>
          <w:sz w:val="28"/>
          <w:szCs w:val="28"/>
        </w:rPr>
      </w:pPr>
      <w:r w:rsidRPr="00F96407">
        <w:rPr>
          <w:rFonts w:eastAsia="Verdana"/>
          <w:b/>
          <w:bCs/>
          <w:sz w:val="28"/>
          <w:szCs w:val="28"/>
        </w:rPr>
        <w:t>3.  </w:t>
      </w:r>
      <w:r w:rsidRPr="00F96407">
        <w:rPr>
          <w:b/>
          <w:sz w:val="28"/>
          <w:szCs w:val="28"/>
        </w:rPr>
        <w:t>Відповідність законопроекту праву ЄС.</w:t>
      </w:r>
    </w:p>
    <w:p w:rsidR="00F96407" w:rsidRPr="00F96407" w:rsidRDefault="00F96407" w:rsidP="00F96407">
      <w:pPr>
        <w:spacing w:before="120"/>
        <w:ind w:firstLine="567"/>
        <w:jc w:val="both"/>
        <w:rPr>
          <w:sz w:val="28"/>
          <w:szCs w:val="28"/>
        </w:rPr>
      </w:pPr>
      <w:r w:rsidRPr="00F96407">
        <w:rPr>
          <w:sz w:val="28"/>
          <w:szCs w:val="28"/>
        </w:rPr>
        <w:t xml:space="preserve">За результатами правового аналізу проекту Закону щодо його відповідності </w:t>
      </w:r>
      <w:proofErr w:type="spellStart"/>
      <w:r w:rsidRPr="00F96407">
        <w:rPr>
          <w:sz w:val="28"/>
          <w:szCs w:val="28"/>
        </w:rPr>
        <w:t>aquis</w:t>
      </w:r>
      <w:proofErr w:type="spellEnd"/>
      <w:r w:rsidRPr="00F96407">
        <w:rPr>
          <w:sz w:val="28"/>
          <w:szCs w:val="28"/>
        </w:rPr>
        <w:t xml:space="preserve"> ЄС та Угоді про асоціацію слід зазначити таке.  </w:t>
      </w:r>
    </w:p>
    <w:p w:rsidR="00F96407" w:rsidRDefault="00F96407" w:rsidP="00F96407">
      <w:pPr>
        <w:pStyle w:val="1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Pr="001650A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ідповідно до </w:t>
      </w:r>
      <w:r w:rsidRPr="00F9640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</w:t>
      </w:r>
      <w:r w:rsidRPr="00F96407">
        <w:rPr>
          <w:rFonts w:ascii="Times New Roman" w:eastAsia="Times New Roman" w:hAnsi="Times New Roman"/>
          <w:i/>
          <w:color w:val="FF0000"/>
          <w:sz w:val="28"/>
          <w:szCs w:val="28"/>
          <w:lang w:val="uk-UA" w:eastAsia="ru-RU"/>
        </w:rPr>
        <w:t xml:space="preserve"> </w:t>
      </w:r>
      <w:r w:rsidRPr="00F9640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423 Угоди про асоціацію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650A8">
        <w:rPr>
          <w:rFonts w:ascii="Times New Roman" w:eastAsia="Times New Roman" w:hAnsi="Times New Roman"/>
          <w:sz w:val="28"/>
          <w:szCs w:val="28"/>
          <w:lang w:val="uk-UA" w:eastAsia="ru-RU"/>
        </w:rPr>
        <w:t>Сторони докладають зусиль для посилення співробітництва у сфері зайнятості та соціальної політики в рамках усіх відповідних регіональних, багатосторонніх та міжнародних форумів і організацій.</w:t>
      </w:r>
    </w:p>
    <w:p w:rsidR="00F96407" w:rsidRDefault="00F96407" w:rsidP="00F96407">
      <w:pPr>
        <w:pStyle w:val="1"/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D3D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той же час, Угодою про асоціацію та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правом</w:t>
      </w:r>
      <w:r w:rsidRPr="00FD3D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Європейського Союзу не передбачено конкретних зобов’язань щодо врегулювання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питання щодо відрахувань із заробітної плати працівника. </w:t>
      </w:r>
    </w:p>
    <w:p w:rsidR="00F96407" w:rsidRDefault="00F96407" w:rsidP="00F96407">
      <w:pPr>
        <w:pStyle w:val="1"/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D76DC">
        <w:rPr>
          <w:rFonts w:ascii="Times New Roman" w:eastAsia="Times New Roman" w:hAnsi="Times New Roman"/>
          <w:sz w:val="28"/>
          <w:szCs w:val="28"/>
          <w:lang w:val="uk-UA" w:eastAsia="ru-RU"/>
        </w:rPr>
        <w:t>З огляду на це слід зазначити, що відповідно до статті 8 ратифікованої Україною Конвенції Міжнародної організації праці про захист заробітної плати № 95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(далі – Конвенція) </w:t>
      </w:r>
      <w:bookmarkStart w:id="0" w:name="o32"/>
      <w:bookmarkEnd w:id="0"/>
      <w:r w:rsidRPr="00DD76DC">
        <w:rPr>
          <w:rFonts w:ascii="Times New Roman" w:eastAsia="Times New Roman" w:hAnsi="Times New Roman"/>
          <w:sz w:val="28"/>
          <w:szCs w:val="28"/>
          <w:lang w:val="uk-UA" w:eastAsia="ru-RU"/>
        </w:rPr>
        <w:t>відрахування з заробітної плати дозволяється робити лише за умов та в межах, продиктованих національним законодавством або визначених у колективному  договорі  чи  в  рішенні арбітражного органу.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 цьому </w:t>
      </w:r>
      <w:bookmarkStart w:id="1" w:name="o33"/>
      <w:bookmarkEnd w:id="1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Pr="00DD76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рацівників треба поставити до відома таким способом, який компетентна влада визнає за найдоцільніший,  про умови й  межі,  в яких такі відрахування можуть провадитися. </w:t>
      </w:r>
    </w:p>
    <w:p w:rsidR="00F96407" w:rsidRPr="00BC4EC8" w:rsidRDefault="00F96407" w:rsidP="00F96407">
      <w:pPr>
        <w:pStyle w:val="1"/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Також положеннями Рекомендації 1949 року про захист заробітної плати №</w:t>
      </w:r>
      <w:r w:rsidR="0056265C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85 (далі – Рекомендація), що ухвалена Міжнародною організацією праці 1</w:t>
      </w:r>
      <w:r w:rsidR="0056265C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 1949 року і доповнює Конвенцію, закладено основні правила здійснення відрахувань із заробітної плати працівника. Так, у підпункті 3 пункту 2 Рекомендації закріплене правило про те, що д</w:t>
      </w:r>
      <w:r w:rsidRPr="00BC4EC8">
        <w:rPr>
          <w:rFonts w:ascii="Times New Roman" w:eastAsia="Times New Roman" w:hAnsi="Times New Roman"/>
          <w:sz w:val="28"/>
          <w:szCs w:val="28"/>
          <w:lang w:val="uk-UA" w:eastAsia="ru-RU"/>
        </w:rPr>
        <w:t>о прийняття рішення про здійснення такого відрахування з заробітної плати заінтересованому працівникові має бути надано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C4EC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відповідну можливість показати причину,  з якої це відрахування не повинно здійснюватися.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4054D4" w:rsidRPr="00F96407" w:rsidRDefault="00F96407" w:rsidP="00F96407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C4EC8">
        <w:rPr>
          <w:rFonts w:ascii="Times New Roman" w:eastAsia="Times New Roman" w:hAnsi="Times New Roman"/>
          <w:sz w:val="28"/>
          <w:szCs w:val="28"/>
          <w:lang w:val="uk-UA" w:eastAsia="ru-RU"/>
        </w:rPr>
        <w:t>Враховуючи все вищевикладене, проект Закону не суперечить праву ЄС та зобов’язанням України відповідно до Угоди про асоціацію.</w:t>
      </w:r>
    </w:p>
    <w:p w:rsidR="004054D4" w:rsidRPr="00F96407" w:rsidRDefault="004054D4" w:rsidP="004054D4">
      <w:pPr>
        <w:spacing w:before="120"/>
        <w:ind w:firstLine="567"/>
        <w:jc w:val="both"/>
        <w:rPr>
          <w:rFonts w:eastAsia="MS Mincho"/>
          <w:sz w:val="28"/>
          <w:szCs w:val="28"/>
          <w:lang w:eastAsia="en-US"/>
        </w:rPr>
      </w:pPr>
    </w:p>
    <w:p w:rsidR="004054D4" w:rsidRPr="00F96407" w:rsidRDefault="004054D4" w:rsidP="004054D4">
      <w:pPr>
        <w:spacing w:line="276" w:lineRule="auto"/>
        <w:ind w:firstLine="567"/>
        <w:jc w:val="both"/>
        <w:rPr>
          <w:bCs/>
          <w:sz w:val="28"/>
          <w:szCs w:val="28"/>
        </w:rPr>
      </w:pPr>
      <w:r w:rsidRPr="00F96407">
        <w:rPr>
          <w:sz w:val="28"/>
          <w:szCs w:val="28"/>
        </w:rPr>
        <w:t xml:space="preserve"> </w:t>
      </w:r>
      <w:r w:rsidRPr="00F96407">
        <w:rPr>
          <w:rFonts w:eastAsia="Verdana"/>
          <w:b/>
          <w:bCs/>
          <w:sz w:val="28"/>
          <w:szCs w:val="28"/>
        </w:rPr>
        <w:t>4.</w:t>
      </w:r>
      <w:r w:rsidRPr="00F96407">
        <w:rPr>
          <w:rFonts w:eastAsia="Verdana"/>
          <w:bCs/>
          <w:sz w:val="28"/>
          <w:szCs w:val="28"/>
        </w:rPr>
        <w:t>   </w:t>
      </w:r>
      <w:r w:rsidRPr="00F96407">
        <w:rPr>
          <w:b/>
          <w:sz w:val="28"/>
          <w:szCs w:val="28"/>
        </w:rPr>
        <w:t xml:space="preserve">Висновок Комітету з питань європейської інтеграції. </w:t>
      </w:r>
    </w:p>
    <w:p w:rsidR="004054D4" w:rsidRPr="00F96407" w:rsidRDefault="004054D4" w:rsidP="004054D4">
      <w:pPr>
        <w:spacing w:before="120"/>
        <w:ind w:firstLine="567"/>
        <w:jc w:val="both"/>
        <w:rPr>
          <w:rFonts w:eastAsia="MS Mincho"/>
          <w:sz w:val="28"/>
          <w:szCs w:val="28"/>
          <w:lang w:eastAsia="en-US"/>
        </w:rPr>
      </w:pPr>
      <w:r w:rsidRPr="00F96407">
        <w:rPr>
          <w:rFonts w:eastAsia="MS Mincho"/>
          <w:sz w:val="28"/>
          <w:szCs w:val="28"/>
          <w:lang w:eastAsia="en-US"/>
        </w:rPr>
        <w:t xml:space="preserve">Проект Закону не суперечить праву Європейського Союзу та зобов’язанням України відповідно до Угоди про асоціацію. </w:t>
      </w:r>
    </w:p>
    <w:p w:rsidR="0056265C" w:rsidRDefault="0056265C" w:rsidP="004054D4">
      <w:pPr>
        <w:spacing w:before="120"/>
        <w:ind w:firstLine="567"/>
        <w:jc w:val="both"/>
        <w:rPr>
          <w:rFonts w:eastAsia="MS Mincho"/>
          <w:sz w:val="28"/>
          <w:szCs w:val="28"/>
          <w:lang w:eastAsia="en-US"/>
        </w:rPr>
      </w:pPr>
    </w:p>
    <w:p w:rsidR="0056265C" w:rsidRDefault="0056265C" w:rsidP="004054D4">
      <w:pPr>
        <w:spacing w:before="120"/>
        <w:ind w:firstLine="567"/>
        <w:jc w:val="both"/>
        <w:rPr>
          <w:rFonts w:eastAsia="MS Mincho"/>
          <w:sz w:val="28"/>
          <w:szCs w:val="28"/>
          <w:lang w:eastAsia="en-US"/>
        </w:rPr>
      </w:pPr>
      <w:bookmarkStart w:id="2" w:name="_GoBack"/>
      <w:bookmarkEnd w:id="2"/>
    </w:p>
    <w:sectPr w:rsidR="0056265C" w:rsidSect="00666A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849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7B6" w:rsidRDefault="00BE27B6">
      <w:r>
        <w:separator/>
      </w:r>
    </w:p>
  </w:endnote>
  <w:endnote w:type="continuationSeparator" w:id="0">
    <w:p w:rsidR="00BE27B6" w:rsidRDefault="00BE2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D0" w:rsidRDefault="00F93ED0" w:rsidP="00083D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3DD0" w:rsidRDefault="00BE27B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D0" w:rsidRPr="00885C95" w:rsidRDefault="00F93ED0" w:rsidP="00885C95">
    <w:pPr>
      <w:pStyle w:val="a3"/>
      <w:framePr w:wrap="around" w:vAnchor="text" w:hAnchor="page" w:x="6151" w:y="16"/>
      <w:rPr>
        <w:rStyle w:val="a5"/>
        <w:sz w:val="24"/>
        <w:szCs w:val="24"/>
      </w:rPr>
    </w:pPr>
    <w:r w:rsidRPr="00885C95">
      <w:rPr>
        <w:rStyle w:val="a5"/>
        <w:sz w:val="24"/>
        <w:szCs w:val="24"/>
      </w:rPr>
      <w:fldChar w:fldCharType="begin"/>
    </w:r>
    <w:r w:rsidRPr="00885C95">
      <w:rPr>
        <w:rStyle w:val="a5"/>
        <w:sz w:val="24"/>
        <w:szCs w:val="24"/>
      </w:rPr>
      <w:instrText xml:space="preserve">PAGE  </w:instrText>
    </w:r>
    <w:r w:rsidRPr="00885C95">
      <w:rPr>
        <w:rStyle w:val="a5"/>
        <w:sz w:val="24"/>
        <w:szCs w:val="24"/>
      </w:rPr>
      <w:fldChar w:fldCharType="separate"/>
    </w:r>
    <w:r w:rsidR="00F93F49">
      <w:rPr>
        <w:rStyle w:val="a5"/>
        <w:noProof/>
        <w:sz w:val="24"/>
        <w:szCs w:val="24"/>
      </w:rPr>
      <w:t>2</w:t>
    </w:r>
    <w:r w:rsidRPr="00885C95">
      <w:rPr>
        <w:rStyle w:val="a5"/>
        <w:sz w:val="24"/>
        <w:szCs w:val="24"/>
      </w:rPr>
      <w:fldChar w:fldCharType="end"/>
    </w:r>
  </w:p>
  <w:p w:rsidR="00083DD0" w:rsidRDefault="00BE27B6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9AD" w:rsidRDefault="00BE27B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7B6" w:rsidRDefault="00BE27B6">
      <w:r>
        <w:separator/>
      </w:r>
    </w:p>
  </w:footnote>
  <w:footnote w:type="continuationSeparator" w:id="0">
    <w:p w:rsidR="00BE27B6" w:rsidRDefault="00BE2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9AD" w:rsidRDefault="00BE27B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9AD" w:rsidRDefault="00BE27B6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9AD" w:rsidRDefault="00BE27B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113BE"/>
    <w:multiLevelType w:val="hybridMultilevel"/>
    <w:tmpl w:val="7FFE9EDC"/>
    <w:lvl w:ilvl="0" w:tplc="47B8B57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3D761D7F"/>
    <w:multiLevelType w:val="hybridMultilevel"/>
    <w:tmpl w:val="8F7E7FC8"/>
    <w:lvl w:ilvl="0" w:tplc="0E94C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4D4"/>
    <w:rsid w:val="00050FDE"/>
    <w:rsid w:val="004054D4"/>
    <w:rsid w:val="0056265C"/>
    <w:rsid w:val="007B633D"/>
    <w:rsid w:val="00902A54"/>
    <w:rsid w:val="00B6095F"/>
    <w:rsid w:val="00BE27B6"/>
    <w:rsid w:val="00CF1D55"/>
    <w:rsid w:val="00D636AB"/>
    <w:rsid w:val="00DE050F"/>
    <w:rsid w:val="00F93ED0"/>
    <w:rsid w:val="00F93F49"/>
    <w:rsid w:val="00F96407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4D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4054D4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uiPriority w:val="99"/>
    <w:rsid w:val="004054D4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4054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4054D4"/>
  </w:style>
  <w:style w:type="paragraph" w:styleId="a6">
    <w:name w:val="header"/>
    <w:basedOn w:val="a"/>
    <w:link w:val="a7"/>
    <w:uiPriority w:val="99"/>
    <w:unhideWhenUsed/>
    <w:rsid w:val="004054D4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4054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F96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2131</Words>
  <Characters>1216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2018-04-03T10:47:00Z</dcterms:created>
  <dcterms:modified xsi:type="dcterms:W3CDTF">2018-04-04T13:12:00Z</dcterms:modified>
</cp:coreProperties>
</file>