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F9E" w:rsidRDefault="009E5F9E" w:rsidP="00E474BA">
      <w:pPr>
        <w:pStyle w:val="a3"/>
        <w:jc w:val="right"/>
      </w:pPr>
    </w:p>
    <w:p w:rsidR="0039167F" w:rsidRPr="0039167F" w:rsidRDefault="0039167F" w:rsidP="0039167F">
      <w:pPr>
        <w:ind w:left="6120"/>
        <w:jc w:val="right"/>
        <w:rPr>
          <w:rFonts w:ascii="Times New Roman" w:hAnsi="Times New Roman"/>
          <w:bCs/>
          <w:sz w:val="20"/>
          <w:szCs w:val="20"/>
        </w:rPr>
      </w:pPr>
      <w:r w:rsidRPr="0039167F">
        <w:rPr>
          <w:rFonts w:ascii="Times New Roman" w:hAnsi="Times New Roman"/>
          <w:bCs/>
          <w:caps/>
          <w:sz w:val="20"/>
          <w:szCs w:val="20"/>
        </w:rPr>
        <w:t>Д</w:t>
      </w:r>
      <w:r w:rsidRPr="0039167F">
        <w:rPr>
          <w:rFonts w:ascii="Times New Roman" w:hAnsi="Times New Roman"/>
          <w:bCs/>
          <w:sz w:val="20"/>
          <w:szCs w:val="20"/>
        </w:rPr>
        <w:t>о реєстр. № 67</w:t>
      </w:r>
      <w:r w:rsidRPr="006F0C54">
        <w:rPr>
          <w:rFonts w:ascii="Times New Roman" w:hAnsi="Times New Roman"/>
          <w:bCs/>
          <w:sz w:val="20"/>
          <w:szCs w:val="20"/>
          <w:lang w:val="ru-RU"/>
        </w:rPr>
        <w:t>46</w:t>
      </w:r>
      <w:r w:rsidRPr="0039167F">
        <w:rPr>
          <w:rFonts w:ascii="Times New Roman" w:hAnsi="Times New Roman"/>
          <w:bCs/>
          <w:sz w:val="20"/>
          <w:szCs w:val="20"/>
          <w:lang w:val="ru-RU"/>
        </w:rPr>
        <w:t xml:space="preserve">  </w:t>
      </w:r>
    </w:p>
    <w:p w:rsidR="0039167F" w:rsidRPr="0039167F" w:rsidRDefault="0039167F" w:rsidP="0039167F">
      <w:pPr>
        <w:ind w:left="6120"/>
        <w:jc w:val="right"/>
        <w:rPr>
          <w:rFonts w:ascii="Times New Roman" w:hAnsi="Times New Roman"/>
          <w:bCs/>
          <w:sz w:val="20"/>
          <w:szCs w:val="20"/>
        </w:rPr>
      </w:pPr>
      <w:r w:rsidRPr="0039167F">
        <w:rPr>
          <w:rFonts w:ascii="Times New Roman" w:hAnsi="Times New Roman"/>
          <w:bCs/>
          <w:sz w:val="20"/>
          <w:szCs w:val="20"/>
        </w:rPr>
        <w:t>(друге читання)</w:t>
      </w:r>
    </w:p>
    <w:p w:rsidR="0039167F" w:rsidRPr="0039167F" w:rsidRDefault="0039167F" w:rsidP="0039167F">
      <w:pPr>
        <w:jc w:val="right"/>
        <w:rPr>
          <w:rFonts w:ascii="Times New Roman" w:hAnsi="Times New Roman"/>
          <w:sz w:val="20"/>
          <w:szCs w:val="20"/>
        </w:rPr>
      </w:pPr>
    </w:p>
    <w:p w:rsidR="0039167F" w:rsidRPr="0039167F" w:rsidRDefault="0039167F" w:rsidP="0039167F">
      <w:pPr>
        <w:jc w:val="center"/>
        <w:rPr>
          <w:rFonts w:ascii="Times New Roman" w:hAnsi="Times New Roman"/>
          <w:b/>
          <w:bCs/>
          <w:sz w:val="32"/>
        </w:rPr>
      </w:pPr>
    </w:p>
    <w:p w:rsidR="0039167F" w:rsidRPr="0039167F" w:rsidRDefault="0039167F" w:rsidP="0039167F">
      <w:pPr>
        <w:jc w:val="center"/>
        <w:rPr>
          <w:rFonts w:ascii="Times New Roman" w:hAnsi="Times New Roman"/>
          <w:b/>
          <w:bCs/>
          <w:sz w:val="32"/>
        </w:rPr>
      </w:pPr>
    </w:p>
    <w:p w:rsidR="0039167F" w:rsidRPr="0039167F" w:rsidRDefault="0039167F" w:rsidP="0039167F">
      <w:pPr>
        <w:jc w:val="center"/>
        <w:rPr>
          <w:rFonts w:ascii="Times New Roman" w:hAnsi="Times New Roman"/>
          <w:b/>
          <w:bCs/>
          <w:sz w:val="32"/>
        </w:rPr>
      </w:pPr>
    </w:p>
    <w:p w:rsidR="0039167F" w:rsidRPr="0039167F" w:rsidRDefault="0039167F" w:rsidP="0039167F">
      <w:pPr>
        <w:jc w:val="center"/>
        <w:rPr>
          <w:rFonts w:ascii="Times New Roman" w:hAnsi="Times New Roman"/>
          <w:b/>
          <w:bCs/>
          <w:sz w:val="32"/>
        </w:rPr>
      </w:pPr>
    </w:p>
    <w:p w:rsidR="0039167F" w:rsidRPr="0039167F" w:rsidRDefault="0039167F" w:rsidP="0039167F">
      <w:pPr>
        <w:jc w:val="center"/>
        <w:rPr>
          <w:rFonts w:ascii="Times New Roman" w:hAnsi="Times New Roman"/>
          <w:b/>
          <w:bCs/>
          <w:sz w:val="32"/>
        </w:rPr>
      </w:pPr>
    </w:p>
    <w:p w:rsidR="0039167F" w:rsidRPr="0039167F" w:rsidRDefault="0039167F" w:rsidP="0039167F">
      <w:pPr>
        <w:jc w:val="center"/>
        <w:rPr>
          <w:rFonts w:ascii="Times New Roman" w:hAnsi="Times New Roman"/>
          <w:b/>
          <w:bCs/>
          <w:sz w:val="32"/>
        </w:rPr>
      </w:pPr>
    </w:p>
    <w:p w:rsidR="0039167F" w:rsidRPr="0039167F" w:rsidRDefault="0039167F" w:rsidP="0039167F">
      <w:pPr>
        <w:jc w:val="center"/>
        <w:rPr>
          <w:rFonts w:ascii="Times New Roman" w:hAnsi="Times New Roman"/>
          <w:b/>
          <w:bCs/>
          <w:sz w:val="28"/>
          <w:szCs w:val="28"/>
        </w:rPr>
      </w:pPr>
    </w:p>
    <w:p w:rsidR="0039167F" w:rsidRPr="0039167F" w:rsidRDefault="0039167F" w:rsidP="0039167F">
      <w:pPr>
        <w:jc w:val="center"/>
        <w:rPr>
          <w:rFonts w:ascii="Times New Roman" w:hAnsi="Times New Roman"/>
          <w:b/>
          <w:bCs/>
          <w:sz w:val="28"/>
          <w:szCs w:val="28"/>
        </w:rPr>
      </w:pPr>
      <w:r w:rsidRPr="0039167F">
        <w:rPr>
          <w:rFonts w:ascii="Times New Roman" w:hAnsi="Times New Roman"/>
          <w:b/>
          <w:bCs/>
          <w:sz w:val="28"/>
          <w:szCs w:val="28"/>
        </w:rPr>
        <w:t>З А У В А Ж Е Н Н Я</w:t>
      </w:r>
    </w:p>
    <w:p w:rsidR="0039167F" w:rsidRPr="0039167F" w:rsidRDefault="0039167F" w:rsidP="0039167F">
      <w:pPr>
        <w:jc w:val="center"/>
        <w:rPr>
          <w:rFonts w:ascii="Times New Roman" w:hAnsi="Times New Roman"/>
          <w:sz w:val="32"/>
        </w:rPr>
      </w:pPr>
    </w:p>
    <w:p w:rsidR="0039167F" w:rsidRPr="0039167F" w:rsidRDefault="0039167F" w:rsidP="0039167F">
      <w:pPr>
        <w:jc w:val="center"/>
        <w:rPr>
          <w:rFonts w:ascii="Times New Roman" w:hAnsi="Times New Roman"/>
          <w:b/>
          <w:sz w:val="28"/>
          <w:szCs w:val="28"/>
        </w:rPr>
      </w:pPr>
      <w:r w:rsidRPr="0039167F">
        <w:rPr>
          <w:rFonts w:ascii="Times New Roman" w:hAnsi="Times New Roman"/>
          <w:b/>
          <w:sz w:val="28"/>
          <w:szCs w:val="28"/>
        </w:rPr>
        <w:t>до проекту Закону України</w:t>
      </w:r>
    </w:p>
    <w:p w:rsidR="0039167F" w:rsidRPr="0039167F" w:rsidRDefault="0039167F" w:rsidP="0039167F">
      <w:pPr>
        <w:pStyle w:val="a3"/>
        <w:jc w:val="center"/>
        <w:rPr>
          <w:lang w:val="uk-UA"/>
        </w:rPr>
      </w:pPr>
      <w:r w:rsidRPr="0039167F">
        <w:rPr>
          <w:b/>
          <w:szCs w:val="28"/>
          <w:lang w:val="uk-UA"/>
        </w:rPr>
        <w:t>«</w:t>
      </w:r>
      <w:r w:rsidRPr="0039167F">
        <w:rPr>
          <w:b/>
          <w:color w:val="000000"/>
          <w:lang w:val="uk-UA"/>
        </w:rPr>
        <w:t xml:space="preserve">Про внесення змін до Закону України </w:t>
      </w:r>
      <w:r>
        <w:rPr>
          <w:color w:val="000000"/>
          <w:lang w:val="uk-UA"/>
        </w:rPr>
        <w:t>«</w:t>
      </w:r>
      <w:r w:rsidRPr="0039167F">
        <w:rPr>
          <w:b/>
          <w:color w:val="000000"/>
          <w:lang w:val="uk-UA"/>
        </w:rPr>
        <w:t>Про захист</w:t>
      </w:r>
      <w:r w:rsidRPr="0039167F">
        <w:rPr>
          <w:b/>
          <w:lang w:val="uk-UA"/>
        </w:rPr>
        <w:t xml:space="preserve"> </w:t>
      </w:r>
      <w:r w:rsidRPr="0039167F">
        <w:rPr>
          <w:b/>
          <w:color w:val="000000"/>
          <w:lang w:val="uk-UA"/>
        </w:rPr>
        <w:t>економічної</w:t>
      </w:r>
      <w:r w:rsidRPr="0039167F">
        <w:rPr>
          <w:b/>
          <w:lang w:val="uk-UA"/>
        </w:rPr>
        <w:t xml:space="preserve"> </w:t>
      </w:r>
      <w:r w:rsidRPr="0039167F">
        <w:rPr>
          <w:b/>
          <w:color w:val="000000"/>
          <w:lang w:val="uk-UA"/>
        </w:rPr>
        <w:t>конкуренції</w:t>
      </w:r>
      <w:r>
        <w:rPr>
          <w:color w:val="000000"/>
          <w:lang w:val="uk-UA"/>
        </w:rPr>
        <w:t>»</w:t>
      </w:r>
      <w:r w:rsidRPr="0039167F">
        <w:rPr>
          <w:b/>
          <w:color w:val="000000"/>
          <w:lang w:val="uk-UA"/>
        </w:rPr>
        <w:t xml:space="preserve">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w:t>
      </w:r>
      <w:r w:rsidRPr="0039167F">
        <w:rPr>
          <w:b/>
          <w:szCs w:val="28"/>
          <w:lang w:val="uk-UA"/>
        </w:rPr>
        <w:t>»</w:t>
      </w:r>
    </w:p>
    <w:p w:rsidR="009E5F9E" w:rsidRPr="0039167F" w:rsidRDefault="009E5F9E" w:rsidP="00E474BA">
      <w:pPr>
        <w:pStyle w:val="a3"/>
        <w:jc w:val="right"/>
        <w:rPr>
          <w:lang w:val="uk-UA"/>
        </w:rPr>
      </w:pPr>
    </w:p>
    <w:p w:rsidR="009E5F9E" w:rsidRDefault="009E5F9E" w:rsidP="00E474BA">
      <w:pPr>
        <w:pStyle w:val="a3"/>
        <w:jc w:val="right"/>
      </w:pPr>
    </w:p>
    <w:p w:rsidR="00E474BA" w:rsidRDefault="00E474BA" w:rsidP="00E474BA">
      <w:pPr>
        <w:pStyle w:val="a3"/>
        <w:ind w:firstLine="708"/>
        <w:jc w:val="both"/>
        <w:rPr>
          <w:lang w:val="uk-UA" w:eastAsia="ru-RU"/>
        </w:rPr>
      </w:pPr>
      <w:r>
        <w:rPr>
          <w:lang w:val="uk-UA" w:eastAsia="ru-RU"/>
        </w:rPr>
        <w:t xml:space="preserve">У Головному юридичному управлінні </w:t>
      </w:r>
      <w:r w:rsidR="0039167F">
        <w:rPr>
          <w:lang w:val="uk-UA" w:eastAsia="ru-RU"/>
        </w:rPr>
        <w:t xml:space="preserve">повторно </w:t>
      </w:r>
      <w:r>
        <w:rPr>
          <w:lang w:val="uk-UA" w:eastAsia="ru-RU"/>
        </w:rPr>
        <w:t>проаналізовано текст проекту</w:t>
      </w:r>
      <w:r w:rsidR="0039167F">
        <w:rPr>
          <w:lang w:val="uk-UA" w:eastAsia="ru-RU"/>
        </w:rPr>
        <w:t xml:space="preserve"> Закону </w:t>
      </w:r>
      <w:r w:rsidR="0039167F" w:rsidRPr="0039167F">
        <w:rPr>
          <w:lang w:val="uk-UA" w:eastAsia="ru-RU"/>
        </w:rPr>
        <w:t>«</w:t>
      </w:r>
      <w:r w:rsidR="0039167F" w:rsidRPr="0039167F">
        <w:rPr>
          <w:color w:val="000000"/>
          <w:lang w:val="uk-UA"/>
        </w:rPr>
        <w:t xml:space="preserve">Про внесення змін до Закону України </w:t>
      </w:r>
      <w:r w:rsidR="0039167F">
        <w:rPr>
          <w:color w:val="000000"/>
          <w:lang w:val="uk-UA"/>
        </w:rPr>
        <w:t>«</w:t>
      </w:r>
      <w:r w:rsidR="0039167F" w:rsidRPr="0039167F">
        <w:rPr>
          <w:color w:val="000000"/>
          <w:lang w:val="uk-UA"/>
        </w:rPr>
        <w:t>Про захист</w:t>
      </w:r>
      <w:r w:rsidR="0039167F" w:rsidRPr="0039167F">
        <w:rPr>
          <w:lang w:val="uk-UA"/>
        </w:rPr>
        <w:t xml:space="preserve"> </w:t>
      </w:r>
      <w:r w:rsidR="0039167F" w:rsidRPr="0039167F">
        <w:rPr>
          <w:color w:val="000000"/>
          <w:lang w:val="uk-UA"/>
        </w:rPr>
        <w:t>економічної</w:t>
      </w:r>
      <w:r w:rsidR="0039167F" w:rsidRPr="0039167F">
        <w:rPr>
          <w:lang w:val="uk-UA"/>
        </w:rPr>
        <w:t xml:space="preserve"> </w:t>
      </w:r>
      <w:r w:rsidR="0039167F" w:rsidRPr="0039167F">
        <w:rPr>
          <w:color w:val="000000"/>
          <w:lang w:val="uk-UA"/>
        </w:rPr>
        <w:t>конкуренції</w:t>
      </w:r>
      <w:r w:rsidR="0039167F">
        <w:rPr>
          <w:color w:val="000000"/>
          <w:lang w:val="uk-UA"/>
        </w:rPr>
        <w:t>»</w:t>
      </w:r>
      <w:r w:rsidR="0039167F" w:rsidRPr="0039167F">
        <w:rPr>
          <w:color w:val="000000"/>
          <w:lang w:val="uk-UA"/>
        </w:rPr>
        <w:t xml:space="preserve">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економічної конкуренції</w:t>
      </w:r>
      <w:r w:rsidR="0039167F">
        <w:rPr>
          <w:color w:val="000000"/>
          <w:lang w:val="uk-UA"/>
        </w:rPr>
        <w:t>»</w:t>
      </w:r>
      <w:r w:rsidR="00060361">
        <w:rPr>
          <w:color w:val="000000"/>
          <w:lang w:val="uk-UA"/>
        </w:rPr>
        <w:t xml:space="preserve"> (далі – проект)</w:t>
      </w:r>
      <w:r>
        <w:rPr>
          <w:lang w:val="uk-UA" w:eastAsia="ru-RU"/>
        </w:rPr>
        <w:t xml:space="preserve">, підготовлений Комітетом з питань економічної політики до розгляду </w:t>
      </w:r>
      <w:r w:rsidR="00060361">
        <w:rPr>
          <w:lang w:val="uk-UA" w:eastAsia="ru-RU"/>
        </w:rPr>
        <w:t>в</w:t>
      </w:r>
      <w:r>
        <w:rPr>
          <w:lang w:val="uk-UA" w:eastAsia="ru-RU"/>
        </w:rPr>
        <w:t xml:space="preserve"> другому читанні.</w:t>
      </w:r>
    </w:p>
    <w:p w:rsidR="00E474BA" w:rsidRDefault="00E474BA" w:rsidP="00E474BA">
      <w:pPr>
        <w:pStyle w:val="a3"/>
        <w:jc w:val="both"/>
        <w:rPr>
          <w:szCs w:val="28"/>
          <w:lang w:val="uk-UA" w:eastAsia="ru-RU"/>
        </w:rPr>
      </w:pPr>
    </w:p>
    <w:p w:rsidR="00E474BA" w:rsidRDefault="00E474BA" w:rsidP="00E474BA">
      <w:pPr>
        <w:pStyle w:val="a3"/>
        <w:ind w:firstLine="708"/>
        <w:jc w:val="both"/>
        <w:rPr>
          <w:szCs w:val="28"/>
          <w:lang w:val="uk-UA" w:eastAsia="ru-RU"/>
        </w:rPr>
      </w:pPr>
      <w:r>
        <w:rPr>
          <w:szCs w:val="28"/>
          <w:lang w:val="uk-UA" w:eastAsia="ru-RU"/>
        </w:rPr>
        <w:t xml:space="preserve">Підтримуючи висновок Головного науково-експертного управління до цього проекту, який не втратив актуальності, зокрема, в частині </w:t>
      </w:r>
      <w:r w:rsidR="00F233C3">
        <w:rPr>
          <w:szCs w:val="28"/>
          <w:lang w:val="uk-UA" w:eastAsia="ru-RU"/>
        </w:rPr>
        <w:t xml:space="preserve">заявлення відводу посадовим </w:t>
      </w:r>
      <w:r>
        <w:rPr>
          <w:szCs w:val="28"/>
          <w:lang w:val="uk-UA" w:eastAsia="ru-RU"/>
        </w:rPr>
        <w:t>ос</w:t>
      </w:r>
      <w:r w:rsidR="00F233C3">
        <w:rPr>
          <w:szCs w:val="28"/>
          <w:lang w:val="uk-UA" w:eastAsia="ru-RU"/>
        </w:rPr>
        <w:t>о</w:t>
      </w:r>
      <w:r>
        <w:rPr>
          <w:szCs w:val="28"/>
          <w:lang w:val="uk-UA" w:eastAsia="ru-RU"/>
        </w:rPr>
        <w:t>б</w:t>
      </w:r>
      <w:r w:rsidR="00F233C3">
        <w:rPr>
          <w:szCs w:val="28"/>
          <w:lang w:val="uk-UA" w:eastAsia="ru-RU"/>
        </w:rPr>
        <w:t>ам</w:t>
      </w:r>
      <w:r>
        <w:rPr>
          <w:szCs w:val="28"/>
          <w:lang w:val="uk-UA" w:eastAsia="ru-RU"/>
        </w:rPr>
        <w:t xml:space="preserve"> Ант</w:t>
      </w:r>
      <w:r w:rsidR="00B45E86">
        <w:rPr>
          <w:szCs w:val="28"/>
          <w:lang w:val="uk-UA" w:eastAsia="ru-RU"/>
        </w:rPr>
        <w:t>имонопо</w:t>
      </w:r>
      <w:r w:rsidR="0039167F">
        <w:rPr>
          <w:szCs w:val="28"/>
          <w:lang w:val="uk-UA" w:eastAsia="ru-RU"/>
        </w:rPr>
        <w:t>льного комітету України</w:t>
      </w:r>
      <w:r>
        <w:rPr>
          <w:szCs w:val="28"/>
          <w:lang w:val="uk-UA" w:eastAsia="ru-RU"/>
        </w:rPr>
        <w:t xml:space="preserve">, зазначимо. </w:t>
      </w:r>
    </w:p>
    <w:p w:rsidR="00B91472" w:rsidRDefault="00B91472" w:rsidP="00B91472">
      <w:pPr>
        <w:ind w:firstLine="708"/>
        <w:jc w:val="both"/>
        <w:rPr>
          <w:rFonts w:ascii="Times New Roman" w:hAnsi="Times New Roman"/>
          <w:sz w:val="28"/>
          <w:szCs w:val="28"/>
        </w:rPr>
      </w:pPr>
    </w:p>
    <w:p w:rsidR="00B91472" w:rsidRPr="00B91472" w:rsidRDefault="00B91472" w:rsidP="00B91472">
      <w:pPr>
        <w:ind w:firstLine="708"/>
        <w:jc w:val="both"/>
        <w:rPr>
          <w:rFonts w:ascii="Times New Roman" w:hAnsi="Times New Roman"/>
          <w:sz w:val="28"/>
          <w:szCs w:val="28"/>
          <w:lang w:eastAsia="en-US"/>
        </w:rPr>
      </w:pPr>
      <w:r>
        <w:rPr>
          <w:rFonts w:ascii="Times New Roman" w:hAnsi="Times New Roman"/>
          <w:sz w:val="28"/>
          <w:szCs w:val="28"/>
        </w:rPr>
        <w:t>1.</w:t>
      </w:r>
      <w:r w:rsidR="008F46CF">
        <w:rPr>
          <w:rFonts w:ascii="Times New Roman" w:hAnsi="Times New Roman"/>
          <w:sz w:val="28"/>
          <w:szCs w:val="28"/>
        </w:rPr>
        <w:t xml:space="preserve"> </w:t>
      </w:r>
      <w:bookmarkStart w:id="0" w:name="_GoBack"/>
      <w:bookmarkEnd w:id="0"/>
      <w:r w:rsidRPr="00B91472">
        <w:rPr>
          <w:rFonts w:ascii="Times New Roman" w:hAnsi="Times New Roman"/>
          <w:sz w:val="28"/>
          <w:szCs w:val="28"/>
        </w:rPr>
        <w:t>На нашу думку</w:t>
      </w:r>
      <w:r w:rsidR="004931F9">
        <w:rPr>
          <w:rFonts w:ascii="Times New Roman" w:hAnsi="Times New Roman"/>
          <w:sz w:val="28"/>
          <w:szCs w:val="28"/>
        </w:rPr>
        <w:t>,</w:t>
      </w:r>
      <w:r w:rsidRPr="00B91472">
        <w:rPr>
          <w:rFonts w:ascii="Times New Roman" w:hAnsi="Times New Roman"/>
          <w:sz w:val="28"/>
          <w:szCs w:val="28"/>
        </w:rPr>
        <w:t xml:space="preserve"> основною концептуальною вадою проекту</w:t>
      </w:r>
      <w:r w:rsidR="00060361">
        <w:rPr>
          <w:rFonts w:ascii="Times New Roman" w:hAnsi="Times New Roman"/>
          <w:sz w:val="28"/>
          <w:szCs w:val="28"/>
        </w:rPr>
        <w:t xml:space="preserve">, </w:t>
      </w:r>
      <w:r w:rsidR="006F0C54">
        <w:rPr>
          <w:rFonts w:ascii="Times New Roman" w:hAnsi="Times New Roman"/>
          <w:sz w:val="28"/>
          <w:szCs w:val="28"/>
        </w:rPr>
        <w:t xml:space="preserve">а також </w:t>
      </w:r>
      <w:r w:rsidR="00060361">
        <w:rPr>
          <w:rFonts w:ascii="Times New Roman" w:hAnsi="Times New Roman"/>
          <w:sz w:val="28"/>
          <w:szCs w:val="28"/>
        </w:rPr>
        <w:t>діючого Закону, до якого вносяться зміни,</w:t>
      </w:r>
      <w:r w:rsidRPr="00B91472">
        <w:rPr>
          <w:rFonts w:ascii="Times New Roman" w:hAnsi="Times New Roman"/>
          <w:sz w:val="28"/>
          <w:szCs w:val="28"/>
        </w:rPr>
        <w:t xml:space="preserve"> є наділення «членів комісії з перевірки» повноваженнями притаманними працівникам правоохоронних органів, які здійснюють провадження у кримінальних справах.</w:t>
      </w:r>
      <w:r w:rsidRPr="00B91472">
        <w:rPr>
          <w:rFonts w:ascii="Times New Roman" w:hAnsi="Times New Roman"/>
          <w:sz w:val="28"/>
          <w:szCs w:val="28"/>
          <w:lang w:val="ru-RU"/>
        </w:rPr>
        <w:t xml:space="preserve"> </w:t>
      </w:r>
      <w:r w:rsidRPr="00B91472">
        <w:rPr>
          <w:rFonts w:ascii="Times New Roman" w:hAnsi="Times New Roman"/>
          <w:sz w:val="28"/>
          <w:szCs w:val="28"/>
        </w:rPr>
        <w:t xml:space="preserve">Зокрема члени комісії з перевірки </w:t>
      </w:r>
      <w:r w:rsidRPr="00B91472">
        <w:rPr>
          <w:rFonts w:ascii="Times New Roman" w:hAnsi="Times New Roman"/>
          <w:sz w:val="28"/>
          <w:szCs w:val="28"/>
          <w:u w:val="single"/>
        </w:rPr>
        <w:t>фактично</w:t>
      </w:r>
      <w:r w:rsidRPr="00B91472">
        <w:rPr>
          <w:rFonts w:ascii="Times New Roman" w:hAnsi="Times New Roman"/>
          <w:sz w:val="28"/>
          <w:szCs w:val="28"/>
        </w:rPr>
        <w:t xml:space="preserve"> наділяються правами проводити обшуки, виїмки, накладати арешт, проводити особистий огляд (стаття 41-1 проекту). При цьому юридично некоректні формулювання не дають змоги однозначно окреслити межі законних дій «членів комісії з перевірки». Наприклад, право «вилучати докази», тобто вилучати фактичні дані</w:t>
      </w:r>
      <w:r w:rsidRPr="00B91472">
        <w:rPr>
          <w:rFonts w:ascii="Times New Roman" w:hAnsi="Times New Roman"/>
          <w:b/>
          <w:bCs/>
          <w:sz w:val="28"/>
          <w:szCs w:val="28"/>
        </w:rPr>
        <w:t xml:space="preserve"> </w:t>
      </w:r>
      <w:r w:rsidRPr="00B91472">
        <w:rPr>
          <w:rFonts w:ascii="Times New Roman" w:hAnsi="Times New Roman"/>
          <w:sz w:val="28"/>
          <w:szCs w:val="28"/>
        </w:rPr>
        <w:t>(</w:t>
      </w:r>
      <w:r w:rsidR="005975CF">
        <w:rPr>
          <w:rFonts w:ascii="Times New Roman" w:hAnsi="Times New Roman"/>
          <w:sz w:val="28"/>
          <w:szCs w:val="28"/>
        </w:rPr>
        <w:t xml:space="preserve">чинна </w:t>
      </w:r>
      <w:r w:rsidR="00252AD5">
        <w:rPr>
          <w:rFonts w:ascii="Times New Roman" w:hAnsi="Times New Roman"/>
          <w:sz w:val="28"/>
          <w:szCs w:val="28"/>
        </w:rPr>
        <w:t xml:space="preserve">стаття 41 Закону України </w:t>
      </w:r>
      <w:r w:rsidR="00252AD5" w:rsidRPr="00252AD5">
        <w:rPr>
          <w:rFonts w:ascii="Times New Roman" w:hAnsi="Times New Roman"/>
          <w:color w:val="000000"/>
          <w:sz w:val="28"/>
          <w:szCs w:val="28"/>
        </w:rPr>
        <w:t>«Про захист</w:t>
      </w:r>
      <w:r w:rsidR="00252AD5" w:rsidRPr="00252AD5">
        <w:rPr>
          <w:rFonts w:ascii="Times New Roman" w:hAnsi="Times New Roman"/>
          <w:sz w:val="28"/>
          <w:szCs w:val="28"/>
        </w:rPr>
        <w:t xml:space="preserve"> </w:t>
      </w:r>
      <w:r w:rsidR="00252AD5" w:rsidRPr="00252AD5">
        <w:rPr>
          <w:rFonts w:ascii="Times New Roman" w:hAnsi="Times New Roman"/>
          <w:color w:val="000000"/>
          <w:sz w:val="28"/>
          <w:szCs w:val="28"/>
        </w:rPr>
        <w:t>економічної</w:t>
      </w:r>
      <w:r w:rsidR="00252AD5" w:rsidRPr="00252AD5">
        <w:rPr>
          <w:rFonts w:ascii="Times New Roman" w:hAnsi="Times New Roman"/>
          <w:sz w:val="28"/>
          <w:szCs w:val="28"/>
        </w:rPr>
        <w:t xml:space="preserve"> </w:t>
      </w:r>
      <w:r w:rsidR="00252AD5" w:rsidRPr="00252AD5">
        <w:rPr>
          <w:rFonts w:ascii="Times New Roman" w:hAnsi="Times New Roman"/>
          <w:color w:val="000000"/>
          <w:sz w:val="28"/>
          <w:szCs w:val="28"/>
        </w:rPr>
        <w:t>конкуренції»</w:t>
      </w:r>
      <w:r w:rsidRPr="00B91472">
        <w:rPr>
          <w:rFonts w:ascii="Times New Roman" w:hAnsi="Times New Roman"/>
          <w:sz w:val="28"/>
          <w:szCs w:val="28"/>
        </w:rPr>
        <w:t>),</w:t>
      </w:r>
      <w:r w:rsidRPr="00B91472">
        <w:rPr>
          <w:rFonts w:ascii="Times New Roman" w:hAnsi="Times New Roman"/>
          <w:b/>
          <w:bCs/>
          <w:sz w:val="28"/>
          <w:szCs w:val="28"/>
        </w:rPr>
        <w:t xml:space="preserve"> «</w:t>
      </w:r>
      <w:r w:rsidRPr="00B91472">
        <w:rPr>
          <w:rFonts w:ascii="Times New Roman" w:hAnsi="Times New Roman"/>
          <w:sz w:val="28"/>
          <w:szCs w:val="28"/>
        </w:rPr>
        <w:t>застосовувати фото- і кінозйомку, аудіо- чи відеозапис, інші технічні чи програмно-технічні засоби» (не зрозуміло чи йдеться про оперативно-розшукову роботу) тощо. Наділення такими повноваженнями вказує на значну суспільну небезпеку діянь, «перевірки» щодо яких здійсню</w:t>
      </w:r>
      <w:r w:rsidR="006F0C54">
        <w:rPr>
          <w:rFonts w:ascii="Times New Roman" w:hAnsi="Times New Roman"/>
          <w:sz w:val="28"/>
          <w:szCs w:val="28"/>
        </w:rPr>
        <w:t>ю</w:t>
      </w:r>
      <w:r w:rsidRPr="00B91472">
        <w:rPr>
          <w:rFonts w:ascii="Times New Roman" w:hAnsi="Times New Roman"/>
          <w:sz w:val="28"/>
          <w:szCs w:val="28"/>
        </w:rPr>
        <w:t xml:space="preserve">ться «посадовими особами Антимонопольного комітету України, його територіальних відділень». </w:t>
      </w:r>
    </w:p>
    <w:p w:rsidR="00B91472" w:rsidRDefault="00B91472" w:rsidP="00B91472">
      <w:pPr>
        <w:ind w:firstLine="708"/>
        <w:jc w:val="both"/>
        <w:rPr>
          <w:rFonts w:ascii="Times New Roman" w:hAnsi="Times New Roman"/>
          <w:sz w:val="28"/>
          <w:szCs w:val="28"/>
        </w:rPr>
      </w:pPr>
      <w:r w:rsidRPr="00B91472">
        <w:rPr>
          <w:rFonts w:ascii="Times New Roman" w:hAnsi="Times New Roman"/>
          <w:sz w:val="28"/>
          <w:szCs w:val="28"/>
        </w:rPr>
        <w:lastRenderedPageBreak/>
        <w:t>Під час кримінального провадження, для убезпечення громадянина від свавілля працівників правоохоронних органів їх процесуальні права та значна частина процесуальних дій, якими обмежуються права и свободи громадян, поставлена під судовий контроль. Однак, проект не містить механізму належного процесуального провадження, у тому числі щодо судового контролю за діями «посадових осіб» Комітету.</w:t>
      </w:r>
    </w:p>
    <w:p w:rsidR="005975CF" w:rsidRDefault="005975CF" w:rsidP="00B91472">
      <w:pPr>
        <w:ind w:firstLine="708"/>
        <w:jc w:val="both"/>
        <w:rPr>
          <w:rFonts w:ascii="Times New Roman" w:hAnsi="Times New Roman"/>
          <w:sz w:val="28"/>
          <w:szCs w:val="28"/>
        </w:rPr>
      </w:pPr>
    </w:p>
    <w:p w:rsidR="00737D31" w:rsidRDefault="00737D31" w:rsidP="00F46BE0">
      <w:pPr>
        <w:pStyle w:val="a3"/>
        <w:ind w:firstLine="708"/>
        <w:jc w:val="both"/>
        <w:rPr>
          <w:szCs w:val="28"/>
          <w:lang w:val="uk-UA" w:eastAsia="ru-RU"/>
        </w:rPr>
      </w:pPr>
      <w:r>
        <w:rPr>
          <w:szCs w:val="28"/>
          <w:lang w:val="uk-UA" w:eastAsia="ru-RU"/>
        </w:rPr>
        <w:t>2. Ч</w:t>
      </w:r>
      <w:r w:rsidR="005975CF">
        <w:rPr>
          <w:szCs w:val="28"/>
          <w:lang w:val="uk-UA" w:eastAsia="ru-RU"/>
        </w:rPr>
        <w:t xml:space="preserve">астина перша статті 41-1 проекту закріплює загальне правило </w:t>
      </w:r>
      <w:r w:rsidR="00F46BE0">
        <w:rPr>
          <w:szCs w:val="28"/>
          <w:lang w:val="uk-UA" w:eastAsia="ru-RU"/>
        </w:rPr>
        <w:t>стосовно</w:t>
      </w:r>
      <w:r w:rsidR="005975CF">
        <w:rPr>
          <w:szCs w:val="28"/>
          <w:lang w:val="uk-UA" w:eastAsia="ru-RU"/>
        </w:rPr>
        <w:t xml:space="preserve"> проведення перевірок для </w:t>
      </w:r>
      <w:r w:rsidR="00F46BE0">
        <w:rPr>
          <w:szCs w:val="28"/>
          <w:lang w:val="uk-UA" w:eastAsia="ru-RU"/>
        </w:rPr>
        <w:t xml:space="preserve">суб’єктів господарювання та об’єднань. Так, «з метою забезпечення доказів у справі про порушення законодавства про захист економічної конкуренції, а також в інших випадках, передбачених законом, органи Антимонопольного комітету України можуть проводити перевірки </w:t>
      </w:r>
      <w:r w:rsidR="00F46BE0" w:rsidRPr="004931F9">
        <w:rPr>
          <w:szCs w:val="28"/>
          <w:u w:val="single"/>
          <w:lang w:val="uk-UA" w:eastAsia="ru-RU"/>
        </w:rPr>
        <w:t>суб’єктів господарювання</w:t>
      </w:r>
      <w:r w:rsidR="00F46BE0">
        <w:rPr>
          <w:szCs w:val="28"/>
          <w:lang w:val="uk-UA" w:eastAsia="ru-RU"/>
        </w:rPr>
        <w:t xml:space="preserve">, об’єднань». </w:t>
      </w:r>
    </w:p>
    <w:p w:rsidR="00F46BE0" w:rsidRPr="00F46BE0" w:rsidRDefault="00F46BE0" w:rsidP="00F46BE0">
      <w:pPr>
        <w:pStyle w:val="a3"/>
        <w:ind w:firstLine="708"/>
        <w:jc w:val="both"/>
        <w:rPr>
          <w:szCs w:val="28"/>
          <w:lang w:val="uk-UA" w:eastAsia="ru-RU"/>
        </w:rPr>
      </w:pPr>
      <w:r>
        <w:rPr>
          <w:szCs w:val="28"/>
          <w:lang w:val="uk-UA" w:eastAsia="ru-RU"/>
        </w:rPr>
        <w:t xml:space="preserve">Тобто, відповідно до  статті 1 чинного Закону, за якою </w:t>
      </w:r>
      <w:r w:rsidRPr="00F46BE0">
        <w:rPr>
          <w:szCs w:val="28"/>
          <w:lang w:val="uk-UA" w:eastAsia="ru-RU"/>
        </w:rPr>
        <w:t xml:space="preserve">суб'єкт господарювання </w:t>
      </w:r>
      <w:r>
        <w:rPr>
          <w:szCs w:val="28"/>
          <w:lang w:val="uk-UA" w:eastAsia="ru-RU"/>
        </w:rPr>
        <w:t xml:space="preserve">– це </w:t>
      </w:r>
      <w:r w:rsidRPr="00F46BE0">
        <w:rPr>
          <w:szCs w:val="28"/>
          <w:u w:val="single"/>
          <w:lang w:val="uk-UA" w:eastAsia="ru-RU"/>
        </w:rPr>
        <w:t>юридична особа</w:t>
      </w:r>
      <w:r w:rsidRPr="00F46BE0">
        <w:rPr>
          <w:szCs w:val="28"/>
          <w:lang w:val="uk-UA" w:eastAsia="ru-RU"/>
        </w:rPr>
        <w:t xml:space="preserve"> незалежно від організаційно-правової форми та форми власності чи </w:t>
      </w:r>
      <w:r w:rsidRPr="00F46BE0">
        <w:rPr>
          <w:szCs w:val="28"/>
          <w:u w:val="single"/>
          <w:lang w:val="uk-UA" w:eastAsia="ru-RU"/>
        </w:rPr>
        <w:t>фізична особа</w:t>
      </w:r>
      <w:r w:rsidRPr="00F46BE0">
        <w:rPr>
          <w:szCs w:val="28"/>
          <w:lang w:val="uk-UA" w:eastAsia="ru-RU"/>
        </w:rPr>
        <w:t>, що здійснює діяльність з виробництва, реалізації, придбання товарів</w:t>
      </w:r>
      <w:r w:rsidR="004931F9">
        <w:rPr>
          <w:szCs w:val="28"/>
          <w:lang w:val="uk-UA" w:eastAsia="ru-RU"/>
        </w:rPr>
        <w:t>…</w:t>
      </w:r>
      <w:r>
        <w:rPr>
          <w:szCs w:val="28"/>
          <w:lang w:val="uk-UA" w:eastAsia="ru-RU"/>
        </w:rPr>
        <w:t>, перевірк</w:t>
      </w:r>
      <w:r w:rsidR="004931F9">
        <w:rPr>
          <w:szCs w:val="28"/>
          <w:lang w:val="uk-UA" w:eastAsia="ru-RU"/>
        </w:rPr>
        <w:t>и</w:t>
      </w:r>
      <w:r>
        <w:rPr>
          <w:szCs w:val="28"/>
          <w:lang w:val="uk-UA" w:eastAsia="ru-RU"/>
        </w:rPr>
        <w:t xml:space="preserve"> проводитим</w:t>
      </w:r>
      <w:r w:rsidR="004931F9">
        <w:rPr>
          <w:szCs w:val="28"/>
          <w:lang w:val="uk-UA" w:eastAsia="ru-RU"/>
        </w:rPr>
        <w:t>уться</w:t>
      </w:r>
      <w:r>
        <w:rPr>
          <w:szCs w:val="28"/>
          <w:lang w:val="uk-UA" w:eastAsia="ru-RU"/>
        </w:rPr>
        <w:t xml:space="preserve"> органами </w:t>
      </w:r>
      <w:r w:rsidR="004931F9">
        <w:rPr>
          <w:szCs w:val="28"/>
          <w:lang w:val="uk-UA" w:eastAsia="ru-RU"/>
        </w:rPr>
        <w:t>Антимонопольного к</w:t>
      </w:r>
      <w:r>
        <w:rPr>
          <w:szCs w:val="28"/>
          <w:lang w:val="uk-UA" w:eastAsia="ru-RU"/>
        </w:rPr>
        <w:t xml:space="preserve">омітету </w:t>
      </w:r>
      <w:r w:rsidR="004931F9">
        <w:rPr>
          <w:szCs w:val="28"/>
          <w:lang w:val="uk-UA" w:eastAsia="ru-RU"/>
        </w:rPr>
        <w:t xml:space="preserve">України </w:t>
      </w:r>
      <w:r>
        <w:rPr>
          <w:szCs w:val="28"/>
          <w:lang w:val="uk-UA" w:eastAsia="ru-RU"/>
        </w:rPr>
        <w:t>в юридичних осіб та фізичних осіб</w:t>
      </w:r>
      <w:r w:rsidR="007C5D4F">
        <w:rPr>
          <w:szCs w:val="28"/>
          <w:lang w:val="uk-UA" w:eastAsia="ru-RU"/>
        </w:rPr>
        <w:t xml:space="preserve"> – суб’єктів господарювання.</w:t>
      </w:r>
      <w:r>
        <w:rPr>
          <w:szCs w:val="28"/>
          <w:lang w:val="uk-UA" w:eastAsia="ru-RU"/>
        </w:rPr>
        <w:t xml:space="preserve"> </w:t>
      </w:r>
    </w:p>
    <w:p w:rsidR="00737D31" w:rsidRDefault="007C5D4F" w:rsidP="00737D31">
      <w:pPr>
        <w:pStyle w:val="a3"/>
        <w:ind w:firstLine="708"/>
        <w:jc w:val="both"/>
        <w:rPr>
          <w:szCs w:val="28"/>
          <w:lang w:val="uk-UA" w:eastAsia="ru-RU"/>
        </w:rPr>
      </w:pPr>
      <w:r>
        <w:rPr>
          <w:szCs w:val="28"/>
          <w:lang w:val="uk-UA" w:eastAsia="ru-RU"/>
        </w:rPr>
        <w:t>Натомість</w:t>
      </w:r>
      <w:r w:rsidR="00F46BE0">
        <w:rPr>
          <w:szCs w:val="28"/>
          <w:lang w:val="uk-UA" w:eastAsia="ru-RU"/>
        </w:rPr>
        <w:t xml:space="preserve">, в частині другій цієї статті проекту </w:t>
      </w:r>
      <w:r w:rsidR="00737D31">
        <w:rPr>
          <w:szCs w:val="28"/>
          <w:lang w:val="uk-UA" w:eastAsia="ru-RU"/>
        </w:rPr>
        <w:t xml:space="preserve">йдеться про </w:t>
      </w:r>
      <w:r>
        <w:rPr>
          <w:szCs w:val="28"/>
          <w:lang w:val="uk-UA" w:eastAsia="ru-RU"/>
        </w:rPr>
        <w:t xml:space="preserve">вимоги до </w:t>
      </w:r>
      <w:r w:rsidR="00737D31">
        <w:rPr>
          <w:szCs w:val="28"/>
          <w:lang w:val="uk-UA" w:eastAsia="ru-RU"/>
        </w:rPr>
        <w:t xml:space="preserve">розпорядження </w:t>
      </w:r>
      <w:r>
        <w:rPr>
          <w:szCs w:val="28"/>
          <w:lang w:val="uk-UA" w:eastAsia="ru-RU"/>
        </w:rPr>
        <w:t>державного уповноваженого Антимонопольного комітету чи голови його територіального відділення</w:t>
      </w:r>
      <w:r w:rsidR="00737D31">
        <w:rPr>
          <w:szCs w:val="28"/>
          <w:lang w:val="uk-UA" w:eastAsia="ru-RU"/>
        </w:rPr>
        <w:t xml:space="preserve">, на підставі якого здійснюється перевірка </w:t>
      </w:r>
      <w:r>
        <w:rPr>
          <w:szCs w:val="28"/>
          <w:lang w:val="uk-UA" w:eastAsia="ru-RU"/>
        </w:rPr>
        <w:t xml:space="preserve">лише </w:t>
      </w:r>
      <w:r w:rsidR="00737D31">
        <w:rPr>
          <w:szCs w:val="28"/>
          <w:lang w:val="uk-UA" w:eastAsia="ru-RU"/>
        </w:rPr>
        <w:t>юридичних осіб, оскільки в ній зазначено, що «</w:t>
      </w:r>
      <w:r w:rsidR="00F46BE0">
        <w:rPr>
          <w:szCs w:val="28"/>
          <w:lang w:val="uk-UA" w:eastAsia="ru-RU"/>
        </w:rPr>
        <w:t>розпорядження про проведення перевірки повинно містити</w:t>
      </w:r>
      <w:r w:rsidR="00737D31">
        <w:rPr>
          <w:szCs w:val="28"/>
          <w:lang w:val="uk-UA" w:eastAsia="ru-RU"/>
        </w:rPr>
        <w:t xml:space="preserve"> …</w:t>
      </w:r>
      <w:r w:rsidR="00F46BE0">
        <w:rPr>
          <w:szCs w:val="28"/>
          <w:lang w:val="uk-UA" w:eastAsia="ru-RU"/>
        </w:rPr>
        <w:t xml:space="preserve"> найменування юридичної особи (юридичних осіб), що підлягає (підлягають перевірці)».</w:t>
      </w:r>
      <w:r w:rsidR="00737D31">
        <w:rPr>
          <w:szCs w:val="28"/>
          <w:lang w:val="uk-UA" w:eastAsia="ru-RU"/>
        </w:rPr>
        <w:t xml:space="preserve"> Отже, проектом не регулюються відносини щодо проведення перевір</w:t>
      </w:r>
      <w:r>
        <w:rPr>
          <w:szCs w:val="28"/>
          <w:lang w:val="uk-UA" w:eastAsia="ru-RU"/>
        </w:rPr>
        <w:t xml:space="preserve">ок </w:t>
      </w:r>
      <w:r w:rsidR="00737D31">
        <w:rPr>
          <w:szCs w:val="28"/>
          <w:lang w:val="uk-UA" w:eastAsia="ru-RU"/>
        </w:rPr>
        <w:t xml:space="preserve">у </w:t>
      </w:r>
      <w:r w:rsidR="00737D31" w:rsidRPr="00737D31">
        <w:rPr>
          <w:szCs w:val="28"/>
          <w:lang w:val="uk-UA" w:eastAsia="ru-RU"/>
        </w:rPr>
        <w:t>фізичних осіб</w:t>
      </w:r>
      <w:r w:rsidR="00737D31" w:rsidRPr="00F46BE0">
        <w:rPr>
          <w:szCs w:val="28"/>
          <w:lang w:val="uk-UA" w:eastAsia="ru-RU"/>
        </w:rPr>
        <w:t>,</w:t>
      </w:r>
      <w:r>
        <w:rPr>
          <w:szCs w:val="28"/>
          <w:lang w:val="uk-UA" w:eastAsia="ru-RU"/>
        </w:rPr>
        <w:t xml:space="preserve"> які відповідно до статті 1 чинного Закону є суб’єктами господарювання</w:t>
      </w:r>
      <w:r w:rsidR="00737D31">
        <w:rPr>
          <w:szCs w:val="28"/>
          <w:lang w:val="uk-UA" w:eastAsia="ru-RU"/>
        </w:rPr>
        <w:t xml:space="preserve">. Крім того, ці відносини </w:t>
      </w:r>
      <w:r>
        <w:rPr>
          <w:szCs w:val="28"/>
          <w:lang w:val="uk-UA" w:eastAsia="ru-RU"/>
        </w:rPr>
        <w:t xml:space="preserve">чітко </w:t>
      </w:r>
      <w:r w:rsidR="00737D31">
        <w:rPr>
          <w:szCs w:val="28"/>
          <w:lang w:val="uk-UA" w:eastAsia="ru-RU"/>
        </w:rPr>
        <w:t>не врегульовані в чинному Закон</w:t>
      </w:r>
      <w:r w:rsidR="006F0C54">
        <w:rPr>
          <w:szCs w:val="28"/>
          <w:lang w:val="uk-UA" w:eastAsia="ru-RU"/>
        </w:rPr>
        <w:t>і</w:t>
      </w:r>
      <w:r w:rsidR="00737D31">
        <w:rPr>
          <w:szCs w:val="28"/>
          <w:lang w:val="uk-UA" w:eastAsia="ru-RU"/>
        </w:rPr>
        <w:t xml:space="preserve">. </w:t>
      </w:r>
    </w:p>
    <w:p w:rsidR="00737D31" w:rsidRDefault="00737D31" w:rsidP="00737D31">
      <w:pPr>
        <w:pStyle w:val="a3"/>
        <w:ind w:firstLine="708"/>
        <w:jc w:val="both"/>
        <w:rPr>
          <w:szCs w:val="28"/>
          <w:lang w:val="uk-UA"/>
        </w:rPr>
      </w:pPr>
      <w:r>
        <w:rPr>
          <w:szCs w:val="28"/>
          <w:lang w:val="uk-UA" w:eastAsia="ru-RU"/>
        </w:rPr>
        <w:t xml:space="preserve">Відтак, </w:t>
      </w:r>
      <w:r>
        <w:rPr>
          <w:rFonts w:ascii="Times New Roman CYR"/>
          <w:szCs w:val="28"/>
          <w:lang w:val="uk-UA" w:eastAsia="ru-RU"/>
        </w:rPr>
        <w:t>положення</w:t>
      </w:r>
      <w:r>
        <w:rPr>
          <w:rFonts w:ascii="Times New Roman CYR"/>
          <w:szCs w:val="28"/>
          <w:lang w:val="uk-UA" w:eastAsia="ru-RU"/>
        </w:rPr>
        <w:t xml:space="preserve"> </w:t>
      </w:r>
      <w:r>
        <w:rPr>
          <w:rFonts w:ascii="Times New Roman CYR"/>
          <w:szCs w:val="28"/>
          <w:lang w:val="uk-UA" w:eastAsia="ru-RU"/>
        </w:rPr>
        <w:t>проекту</w:t>
      </w:r>
      <w:r>
        <w:rPr>
          <w:rFonts w:ascii="Times New Roman CYR"/>
          <w:szCs w:val="28"/>
          <w:lang w:val="uk-UA" w:eastAsia="ru-RU"/>
        </w:rPr>
        <w:t xml:space="preserve"> </w:t>
      </w:r>
      <w:r>
        <w:rPr>
          <w:bCs/>
          <w:szCs w:val="28"/>
          <w:lang w:val="uk-UA"/>
        </w:rPr>
        <w:t xml:space="preserve">не враховують конституційних приписів щодо </w:t>
      </w:r>
      <w:r>
        <w:rPr>
          <w:szCs w:val="28"/>
          <w:lang w:val="uk-UA" w:eastAsia="ru-RU"/>
        </w:rPr>
        <w:t xml:space="preserve">достатніх і завершених правових </w:t>
      </w:r>
      <w:r w:rsidR="006F0C54">
        <w:rPr>
          <w:szCs w:val="28"/>
          <w:lang w:val="uk-UA" w:eastAsia="ru-RU"/>
        </w:rPr>
        <w:t xml:space="preserve">вимог </w:t>
      </w:r>
      <w:r>
        <w:rPr>
          <w:szCs w:val="28"/>
          <w:lang w:val="uk-UA" w:eastAsia="ru-RU"/>
        </w:rPr>
        <w:t>реалізації його положень</w:t>
      </w:r>
      <w:r>
        <w:rPr>
          <w:bCs/>
          <w:szCs w:val="28"/>
          <w:lang w:val="uk-UA"/>
        </w:rPr>
        <w:t>, а також європейських стандартів щодо чіткості, ясності, зрозумілості закону. В</w:t>
      </w:r>
      <w:r>
        <w:rPr>
          <w:szCs w:val="28"/>
          <w:lang w:val="uk-UA"/>
        </w:rPr>
        <w:t xml:space="preserve">ідповідно до статті 8 Конституції України в Україні визнається і діє принцип верховенства права. При цьому одним з основних фундаментальних елементів цього </w:t>
      </w:r>
      <w:r w:rsidRPr="00160FC0">
        <w:rPr>
          <w:szCs w:val="28"/>
          <w:u w:val="single"/>
          <w:lang w:val="uk-UA"/>
        </w:rPr>
        <w:t>принципу є юридична визначеність</w:t>
      </w:r>
      <w:r>
        <w:rPr>
          <w:szCs w:val="28"/>
          <w:lang w:val="uk-UA"/>
        </w:rPr>
        <w:t xml:space="preserve">,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Конституційний Суд України у відповідних рішеннях від 22.09.2005 № 5-рп, 29.06.2010 №17-рп, 11.10.2011 № 10-рп. </w:t>
      </w:r>
    </w:p>
    <w:p w:rsidR="005975CF" w:rsidRDefault="005975CF" w:rsidP="00E474BA">
      <w:pPr>
        <w:pStyle w:val="a3"/>
        <w:ind w:firstLine="708"/>
        <w:jc w:val="both"/>
        <w:rPr>
          <w:szCs w:val="28"/>
          <w:lang w:val="uk-UA" w:eastAsia="ru-RU"/>
        </w:rPr>
      </w:pPr>
    </w:p>
    <w:p w:rsidR="006E159C" w:rsidRDefault="00B91472" w:rsidP="00E474BA">
      <w:pPr>
        <w:pStyle w:val="a3"/>
        <w:jc w:val="both"/>
        <w:rPr>
          <w:lang w:val="uk-UA"/>
        </w:rPr>
      </w:pPr>
      <w:r>
        <w:rPr>
          <w:lang w:val="uk-UA"/>
        </w:rPr>
        <w:tab/>
      </w:r>
      <w:r w:rsidR="00737D31">
        <w:rPr>
          <w:lang w:val="uk-UA"/>
        </w:rPr>
        <w:t xml:space="preserve">3.  </w:t>
      </w:r>
      <w:r w:rsidR="00AC66FA">
        <w:rPr>
          <w:lang w:val="uk-UA"/>
        </w:rPr>
        <w:t xml:space="preserve">Відповідно до частини другої статті 40 проекту «особи, які беруть участь у справі, зобов’язані добросовісно і відповідально користуватися належними їм правами, не допускати затягування розгляду справи». Разом з тим, на нашу думку,  «добросовісність», «відповідальність», «затягування розгляду справи» є оціночними поняттями, а їхній зміст не розкрито ні в проекті, ні в чинному </w:t>
      </w:r>
      <w:r w:rsidR="00AC66FA">
        <w:rPr>
          <w:lang w:val="uk-UA"/>
        </w:rPr>
        <w:lastRenderedPageBreak/>
        <w:t xml:space="preserve">Законі. Відтак, на практиці це може призвести до необмеженості трактування та до різного </w:t>
      </w:r>
      <w:r w:rsidR="006E159C">
        <w:rPr>
          <w:lang w:val="uk-UA"/>
        </w:rPr>
        <w:t xml:space="preserve">їхнього </w:t>
      </w:r>
      <w:r w:rsidR="00AC66FA">
        <w:rPr>
          <w:lang w:val="uk-UA"/>
        </w:rPr>
        <w:t xml:space="preserve">застосування.  </w:t>
      </w:r>
    </w:p>
    <w:p w:rsidR="00E474BA" w:rsidRDefault="00AC66FA" w:rsidP="00E474BA">
      <w:pPr>
        <w:pStyle w:val="a3"/>
        <w:jc w:val="both"/>
        <w:rPr>
          <w:lang w:val="uk-UA"/>
        </w:rPr>
      </w:pPr>
      <w:r>
        <w:rPr>
          <w:lang w:val="uk-UA"/>
        </w:rPr>
        <w:t xml:space="preserve">   </w:t>
      </w:r>
      <w:r w:rsidR="006E159C">
        <w:rPr>
          <w:lang w:val="uk-UA"/>
        </w:rPr>
        <w:tab/>
        <w:t xml:space="preserve">Крім того, проект не передбачає чітких правових наслідків невиконання особами, які беруть участь у справі, зазначених вище обов’язків.  </w:t>
      </w:r>
    </w:p>
    <w:p w:rsidR="00AC66FA" w:rsidRPr="00AC66FA" w:rsidRDefault="006E159C" w:rsidP="006E159C">
      <w:pPr>
        <w:pStyle w:val="a3"/>
        <w:jc w:val="both"/>
        <w:rPr>
          <w:szCs w:val="28"/>
          <w:lang w:val="uk-UA"/>
        </w:rPr>
      </w:pPr>
      <w:r>
        <w:rPr>
          <w:lang w:val="uk-UA"/>
        </w:rPr>
        <w:tab/>
      </w:r>
      <w:r w:rsidRPr="006E159C">
        <w:rPr>
          <w:lang w:val="uk-UA"/>
        </w:rPr>
        <w:t xml:space="preserve">Таким чином, </w:t>
      </w:r>
      <w:r w:rsidR="00AC66FA" w:rsidRPr="00AC66FA">
        <w:rPr>
          <w:szCs w:val="28"/>
          <w:lang w:val="uk-UA"/>
        </w:rPr>
        <w:t>обраний у проекті нормотворчий підхід не відповідає вимогам щодо якості законів в контексті верховенства права (стаття 8 Конституції України), зокрема його елементу «юридична визначеність», котрий вимагає, щоб норми були чіткими і точними та спрямованими на забезпечення того, щоб ситуації та правовідносини залишалися передбачуваними. На необхідність дотримання принципу верховенства пр</w:t>
      </w:r>
      <w:r w:rsidR="006F0C54">
        <w:rPr>
          <w:szCs w:val="28"/>
          <w:lang w:val="uk-UA"/>
        </w:rPr>
        <w:t xml:space="preserve">ава неодноразово звертав увагу </w:t>
      </w:r>
      <w:r w:rsidR="00AC66FA" w:rsidRPr="00AC66FA">
        <w:rPr>
          <w:szCs w:val="28"/>
          <w:lang w:val="uk-UA"/>
        </w:rPr>
        <w:t>Конституційний Суд України (рішення від 29.06.2010 №17).</w:t>
      </w:r>
    </w:p>
    <w:p w:rsidR="00F46BE0" w:rsidRDefault="006E159C" w:rsidP="00E474BA">
      <w:pPr>
        <w:pStyle w:val="a3"/>
        <w:jc w:val="both"/>
        <w:rPr>
          <w:lang w:val="uk-UA"/>
        </w:rPr>
      </w:pPr>
      <w:r>
        <w:rPr>
          <w:lang w:val="uk-UA"/>
        </w:rPr>
        <w:tab/>
        <w:t xml:space="preserve">Це ж зауваження стосується також частини восьмої статті 46-2 проекту, за якою «особи, які беруть участь у справі, зобов’язані добросовісно і відповідально користуватися правом на проведення слухань та не допускати затягування розгляду справи».  </w:t>
      </w:r>
    </w:p>
    <w:p w:rsidR="006E159C" w:rsidRDefault="006E159C" w:rsidP="00E474BA">
      <w:pPr>
        <w:pStyle w:val="a3"/>
        <w:jc w:val="both"/>
        <w:rPr>
          <w:lang w:val="uk-UA"/>
        </w:rPr>
      </w:pPr>
    </w:p>
    <w:p w:rsidR="002D1F8E" w:rsidRDefault="006E159C" w:rsidP="002D1F8E">
      <w:pPr>
        <w:pStyle w:val="a3"/>
        <w:jc w:val="both"/>
        <w:rPr>
          <w:rFonts w:eastAsia="TimesNewRomanPSMT"/>
          <w:szCs w:val="28"/>
          <w:lang w:val="uk-UA" w:eastAsia="ru-RU"/>
        </w:rPr>
      </w:pPr>
      <w:r>
        <w:rPr>
          <w:lang w:val="uk-UA"/>
        </w:rPr>
        <w:tab/>
        <w:t xml:space="preserve">4. </w:t>
      </w:r>
      <w:r w:rsidR="002D1F8E">
        <w:rPr>
          <w:lang w:val="uk-UA"/>
        </w:rPr>
        <w:t xml:space="preserve">Згідно із частиною сьомою статті </w:t>
      </w:r>
      <w:r w:rsidR="002D1F8E">
        <w:rPr>
          <w:rFonts w:eastAsia="TimesNewRomanPSMT"/>
          <w:szCs w:val="28"/>
          <w:lang w:val="uk-UA" w:eastAsia="ru-RU"/>
        </w:rPr>
        <w:t xml:space="preserve">46-2 проекту «порядок проведення слухань у справа про порушення законодавства про захист економічної конкуренції затверджується Антимонопольним комітетом України». </w:t>
      </w:r>
    </w:p>
    <w:p w:rsidR="002D1F8E" w:rsidRPr="002D1F8E" w:rsidRDefault="002D1F8E" w:rsidP="002D1F8E">
      <w:pPr>
        <w:pStyle w:val="a3"/>
        <w:ind w:firstLine="708"/>
        <w:jc w:val="both"/>
        <w:rPr>
          <w:lang w:val="uk-UA"/>
        </w:rPr>
      </w:pPr>
      <w:r w:rsidRPr="002D1F8E">
        <w:rPr>
          <w:rFonts w:eastAsia="TimesNewRomanPSMT"/>
          <w:szCs w:val="28"/>
          <w:lang w:val="uk-UA" w:eastAsia="ru-RU"/>
        </w:rPr>
        <w:t xml:space="preserve">Тобто, </w:t>
      </w:r>
      <w:r w:rsidRPr="002D1F8E">
        <w:rPr>
          <w:szCs w:val="28"/>
          <w:lang w:val="uk-UA"/>
        </w:rPr>
        <w:t>суспільні відносини щодо проведення</w:t>
      </w:r>
      <w:r>
        <w:rPr>
          <w:szCs w:val="28"/>
          <w:lang w:val="uk-UA"/>
        </w:rPr>
        <w:t xml:space="preserve"> слухань </w:t>
      </w:r>
      <w:r w:rsidRPr="002D1F8E">
        <w:rPr>
          <w:szCs w:val="28"/>
          <w:lang w:val="uk-UA"/>
        </w:rPr>
        <w:t xml:space="preserve">регулюватимуться підзаконним нормативно-правовим актом України </w:t>
      </w:r>
      <w:r w:rsidRPr="002D1F8E">
        <w:rPr>
          <w:color w:val="000000"/>
          <w:lang w:val="uk-UA"/>
        </w:rPr>
        <w:t>державного органу із спеціальним статусом</w:t>
      </w:r>
      <w:r w:rsidRPr="002D1F8E">
        <w:rPr>
          <w:szCs w:val="28"/>
          <w:lang w:val="uk-UA"/>
        </w:rPr>
        <w:t xml:space="preserve">. Відтак, </w:t>
      </w:r>
      <w:r>
        <w:rPr>
          <w:szCs w:val="28"/>
          <w:lang w:val="uk-UA"/>
        </w:rPr>
        <w:t>процесуальні дії о</w:t>
      </w:r>
      <w:r w:rsidRPr="002D1F8E">
        <w:rPr>
          <w:szCs w:val="28"/>
          <w:lang w:val="uk-UA"/>
        </w:rPr>
        <w:t>рган</w:t>
      </w:r>
      <w:r>
        <w:rPr>
          <w:szCs w:val="28"/>
          <w:lang w:val="uk-UA"/>
        </w:rPr>
        <w:t>ів</w:t>
      </w:r>
      <w:r w:rsidRPr="002D1F8E">
        <w:rPr>
          <w:szCs w:val="28"/>
          <w:lang w:val="uk-UA"/>
        </w:rPr>
        <w:t xml:space="preserve"> Антимонопольного комітету України </w:t>
      </w:r>
      <w:r>
        <w:rPr>
          <w:szCs w:val="28"/>
          <w:lang w:val="uk-UA"/>
        </w:rPr>
        <w:t xml:space="preserve">відбуватимуться </w:t>
      </w:r>
      <w:r w:rsidRPr="002D1F8E">
        <w:rPr>
          <w:szCs w:val="28"/>
          <w:lang w:val="uk-UA"/>
        </w:rPr>
        <w:t xml:space="preserve">у порядку та </w:t>
      </w:r>
      <w:r>
        <w:rPr>
          <w:szCs w:val="28"/>
          <w:lang w:val="uk-UA"/>
        </w:rPr>
        <w:t xml:space="preserve">в </w:t>
      </w:r>
      <w:r w:rsidRPr="002D1F8E">
        <w:rPr>
          <w:szCs w:val="28"/>
          <w:lang w:val="uk-UA"/>
        </w:rPr>
        <w:t xml:space="preserve">спосіб, встановлений  Антимонопольним комітетом України, що не узгоджується із приписом частини другої статті 19 Конституції, оскільки </w:t>
      </w:r>
      <w:r w:rsidRPr="002D1F8E">
        <w:rPr>
          <w:lang w:val="uk-UA"/>
        </w:rPr>
        <w:t xml:space="preserve">органи державної влади, їх посадові особи зобов’язані діяти лише на підставі, в межах повноважень та у спосіб, що передбачені Конституцією та </w:t>
      </w:r>
      <w:r w:rsidRPr="002D1F8E">
        <w:rPr>
          <w:u w:val="single"/>
          <w:lang w:val="uk-UA"/>
        </w:rPr>
        <w:t>законами України</w:t>
      </w:r>
      <w:r w:rsidRPr="002D1F8E">
        <w:rPr>
          <w:lang w:val="uk-UA"/>
        </w:rPr>
        <w:t xml:space="preserve">. </w:t>
      </w:r>
      <w:r w:rsidRPr="002D1F8E">
        <w:rPr>
          <w:szCs w:val="28"/>
          <w:lang w:val="uk-UA"/>
        </w:rPr>
        <w:t xml:space="preserve"> </w:t>
      </w:r>
    </w:p>
    <w:p w:rsidR="002D1F8E" w:rsidRPr="002D1F8E" w:rsidRDefault="002D1F8E" w:rsidP="002D1F8E">
      <w:pPr>
        <w:jc w:val="both"/>
        <w:rPr>
          <w:rFonts w:ascii="Times New Roman" w:eastAsia="Calibri" w:hAnsi="Times New Roman"/>
          <w:sz w:val="28"/>
          <w:szCs w:val="22"/>
          <w:lang w:eastAsia="en-US"/>
        </w:rPr>
      </w:pPr>
      <w:r w:rsidRPr="002D1F8E">
        <w:rPr>
          <w:rFonts w:ascii="Times New Roman" w:eastAsia="Calibri" w:hAnsi="Times New Roman"/>
          <w:sz w:val="28"/>
          <w:szCs w:val="22"/>
          <w:lang w:eastAsia="en-US"/>
        </w:rPr>
        <w:tab/>
        <w:t xml:space="preserve">Таким чином, зазначені суспільні відносини мали б бути </w:t>
      </w:r>
      <w:r>
        <w:rPr>
          <w:rFonts w:ascii="Times New Roman" w:eastAsia="Calibri" w:hAnsi="Times New Roman"/>
          <w:sz w:val="28"/>
          <w:szCs w:val="22"/>
          <w:lang w:eastAsia="en-US"/>
        </w:rPr>
        <w:t xml:space="preserve">повністю </w:t>
      </w:r>
      <w:r w:rsidRPr="002D1F8E">
        <w:rPr>
          <w:rFonts w:ascii="Times New Roman" w:eastAsia="Calibri" w:hAnsi="Times New Roman"/>
          <w:sz w:val="28"/>
          <w:szCs w:val="22"/>
          <w:lang w:eastAsia="en-US"/>
        </w:rPr>
        <w:t xml:space="preserve">врегульовані в Законі України «Про захист економічної конкуренції».   </w:t>
      </w:r>
    </w:p>
    <w:p w:rsidR="009D5FD5" w:rsidRDefault="002D1F8E" w:rsidP="002D1F8E">
      <w:pPr>
        <w:pStyle w:val="a3"/>
        <w:jc w:val="both"/>
        <w:rPr>
          <w:lang w:val="uk-UA"/>
        </w:rPr>
      </w:pPr>
      <w:r>
        <w:rPr>
          <w:rFonts w:eastAsia="TimesNewRomanPSMT"/>
          <w:szCs w:val="28"/>
          <w:lang w:val="uk-UA" w:eastAsia="ru-RU"/>
        </w:rPr>
        <w:tab/>
        <w:t xml:space="preserve">Це ж зауваження стосується також </w:t>
      </w:r>
      <w:r w:rsidR="009D5FD5">
        <w:rPr>
          <w:lang w:val="uk-UA"/>
        </w:rPr>
        <w:t xml:space="preserve">частини шостої статті 52-1 </w:t>
      </w:r>
      <w:r>
        <w:rPr>
          <w:lang w:val="uk-UA"/>
        </w:rPr>
        <w:t>проекту, за якою «порядок подання</w:t>
      </w:r>
      <w:r w:rsidR="009D5FD5">
        <w:rPr>
          <w:lang w:val="uk-UA"/>
        </w:rPr>
        <w:t xml:space="preserve"> заяв про звільнення від відповідальності</w:t>
      </w:r>
      <w:r>
        <w:rPr>
          <w:lang w:val="uk-UA"/>
        </w:rPr>
        <w:t>, про</w:t>
      </w:r>
      <w:r w:rsidR="009D5FD5">
        <w:rPr>
          <w:lang w:val="uk-UA"/>
        </w:rPr>
        <w:t xml:space="preserve"> зменшення розміру штрафів за надання доказів вчинення антиконкурентних узгоджених дій та надання такого зменшення встановлюється Антимонопольним комітетом України».  </w:t>
      </w:r>
    </w:p>
    <w:p w:rsidR="00DF6623" w:rsidRDefault="00DF6623" w:rsidP="002D1F8E">
      <w:pPr>
        <w:pStyle w:val="a3"/>
        <w:jc w:val="both"/>
        <w:rPr>
          <w:lang w:val="uk-UA"/>
        </w:rPr>
      </w:pPr>
    </w:p>
    <w:p w:rsidR="00DF6623" w:rsidRDefault="00DF6623" w:rsidP="00DF6623">
      <w:pPr>
        <w:pStyle w:val="a3"/>
        <w:ind w:firstLine="567"/>
        <w:jc w:val="both"/>
        <w:rPr>
          <w:szCs w:val="28"/>
          <w:lang w:val="uk-UA" w:eastAsia="ru-RU"/>
        </w:rPr>
      </w:pPr>
      <w:r>
        <w:rPr>
          <w:lang w:val="uk-UA"/>
        </w:rPr>
        <w:tab/>
        <w:t xml:space="preserve">5. </w:t>
      </w:r>
      <w:r w:rsidRPr="005B269A">
        <w:rPr>
          <w:szCs w:val="28"/>
          <w:lang w:val="uk-UA" w:eastAsia="ru-RU"/>
        </w:rPr>
        <w:t>Частиною</w:t>
      </w:r>
      <w:r>
        <w:rPr>
          <w:szCs w:val="28"/>
          <w:lang w:val="uk-UA" w:eastAsia="ru-RU"/>
        </w:rPr>
        <w:t xml:space="preserve"> п’ятою статті 37-1 проекту передбачено, що «</w:t>
      </w:r>
      <w:r w:rsidRPr="00AB723D">
        <w:rPr>
          <w:szCs w:val="28"/>
          <w:u w:val="single"/>
          <w:lang w:val="uk-UA" w:eastAsia="ru-RU"/>
        </w:rPr>
        <w:t>у разі потреби</w:t>
      </w:r>
      <w:r>
        <w:rPr>
          <w:szCs w:val="28"/>
          <w:lang w:val="uk-UA" w:eastAsia="ru-RU"/>
        </w:rPr>
        <w:t xml:space="preserve">  одержання інформації, яка не була надана на вимогу органів Антимонопольного комітету України, проведення слухання у справі, а також з метою забезпечення особам, які беруть участь у справі, достатнього строку для надання зауважень щодо висновків, викладених у поданні з попередніми висновками у справі, державний уповноважений Антимонопольного комітету України, голова територіального відділення … </w:t>
      </w:r>
      <w:r w:rsidRPr="00AB723D">
        <w:rPr>
          <w:szCs w:val="28"/>
          <w:u w:val="single"/>
          <w:lang w:val="uk-UA" w:eastAsia="ru-RU"/>
        </w:rPr>
        <w:t>мож</w:t>
      </w:r>
      <w:r>
        <w:rPr>
          <w:szCs w:val="28"/>
          <w:u w:val="single"/>
          <w:lang w:val="uk-UA" w:eastAsia="ru-RU"/>
        </w:rPr>
        <w:t>уть</w:t>
      </w:r>
      <w:r>
        <w:rPr>
          <w:szCs w:val="28"/>
          <w:lang w:val="uk-UA" w:eastAsia="ru-RU"/>
        </w:rPr>
        <w:t xml:space="preserve"> продовжити строк розгляду справи…». </w:t>
      </w:r>
    </w:p>
    <w:p w:rsidR="00CE3F27" w:rsidRDefault="00CE3F27" w:rsidP="00CE3F27">
      <w:pPr>
        <w:pStyle w:val="a3"/>
        <w:ind w:firstLine="708"/>
        <w:jc w:val="both"/>
        <w:rPr>
          <w:lang w:val="uk-UA"/>
        </w:rPr>
      </w:pPr>
      <w:r>
        <w:rPr>
          <w:szCs w:val="28"/>
          <w:lang w:val="uk-UA" w:eastAsia="ru-RU"/>
        </w:rPr>
        <w:t xml:space="preserve">Не заперечуючи проти цієї норми, зазначимо, що </w:t>
      </w:r>
      <w:r w:rsidRPr="00CE3F27">
        <w:rPr>
          <w:lang w:val="uk-UA"/>
        </w:rPr>
        <w:t>використання в нормі проекту правової конструкції «</w:t>
      </w:r>
      <w:r>
        <w:rPr>
          <w:lang w:val="uk-UA"/>
        </w:rPr>
        <w:t xml:space="preserve">державний уповноважений </w:t>
      </w:r>
      <w:r w:rsidRPr="00CE3F27">
        <w:rPr>
          <w:lang w:val="uk-UA"/>
        </w:rPr>
        <w:t>Антимонопольн</w:t>
      </w:r>
      <w:r>
        <w:rPr>
          <w:lang w:val="uk-UA"/>
        </w:rPr>
        <w:t>ого</w:t>
      </w:r>
      <w:r w:rsidRPr="00CE3F27">
        <w:rPr>
          <w:lang w:val="uk-UA"/>
        </w:rPr>
        <w:t xml:space="preserve"> комітет</w:t>
      </w:r>
      <w:r>
        <w:rPr>
          <w:lang w:val="uk-UA"/>
        </w:rPr>
        <w:t>у</w:t>
      </w:r>
      <w:r w:rsidRPr="00CE3F27">
        <w:rPr>
          <w:lang w:val="uk-UA"/>
        </w:rPr>
        <w:t xml:space="preserve"> України</w:t>
      </w:r>
      <w:r>
        <w:rPr>
          <w:lang w:val="uk-UA"/>
        </w:rPr>
        <w:t>, голова територіального відділення</w:t>
      </w:r>
      <w:r w:rsidRPr="00CE3F27">
        <w:rPr>
          <w:lang w:val="uk-UA"/>
        </w:rPr>
        <w:t xml:space="preserve"> мож</w:t>
      </w:r>
      <w:r>
        <w:rPr>
          <w:lang w:val="uk-UA"/>
        </w:rPr>
        <w:t>уть</w:t>
      </w:r>
      <w:r w:rsidRPr="00CE3F27">
        <w:rPr>
          <w:lang w:val="uk-UA"/>
        </w:rPr>
        <w:t xml:space="preserve">…», на практиці </w:t>
      </w:r>
      <w:r w:rsidRPr="00CE3F27">
        <w:rPr>
          <w:lang w:val="uk-UA"/>
        </w:rPr>
        <w:lastRenderedPageBreak/>
        <w:t xml:space="preserve">може призвести до того, що </w:t>
      </w:r>
      <w:r>
        <w:rPr>
          <w:lang w:val="uk-UA"/>
        </w:rPr>
        <w:t xml:space="preserve">органи </w:t>
      </w:r>
      <w:r w:rsidRPr="00CE3F27">
        <w:rPr>
          <w:lang w:val="uk-UA"/>
        </w:rPr>
        <w:t>Антимонопольн</w:t>
      </w:r>
      <w:r>
        <w:rPr>
          <w:lang w:val="uk-UA"/>
        </w:rPr>
        <w:t>ого</w:t>
      </w:r>
      <w:r w:rsidRPr="00CE3F27">
        <w:rPr>
          <w:lang w:val="uk-UA"/>
        </w:rPr>
        <w:t xml:space="preserve"> комітет</w:t>
      </w:r>
      <w:r>
        <w:rPr>
          <w:lang w:val="uk-UA"/>
        </w:rPr>
        <w:t>у</w:t>
      </w:r>
      <w:r w:rsidRPr="00CE3F27">
        <w:rPr>
          <w:lang w:val="uk-UA"/>
        </w:rPr>
        <w:t xml:space="preserve"> України «на свій розсуд» </w:t>
      </w:r>
      <w:r>
        <w:rPr>
          <w:lang w:val="uk-UA"/>
        </w:rPr>
        <w:t>продовж</w:t>
      </w:r>
      <w:r w:rsidR="004E600D">
        <w:rPr>
          <w:lang w:val="uk-UA"/>
        </w:rPr>
        <w:t>уватимуть</w:t>
      </w:r>
      <w:r>
        <w:rPr>
          <w:lang w:val="uk-UA"/>
        </w:rPr>
        <w:t xml:space="preserve"> або не </w:t>
      </w:r>
      <w:r w:rsidR="004E600D">
        <w:rPr>
          <w:lang w:val="uk-UA"/>
        </w:rPr>
        <w:t>продовжуватимуть</w:t>
      </w:r>
      <w:r>
        <w:rPr>
          <w:lang w:val="uk-UA"/>
        </w:rPr>
        <w:t xml:space="preserve"> строк розгляду справи. </w:t>
      </w:r>
      <w:r w:rsidRPr="00CE3F27">
        <w:rPr>
          <w:lang w:val="uk-UA"/>
        </w:rPr>
        <w:t>Однак, такі дії Антимонопольного комітету України не узгоджуються із частиною другою статті 19 Конституції України, за якою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w:t>
      </w:r>
    </w:p>
    <w:p w:rsidR="00CE3F27" w:rsidRDefault="00CE3F27" w:rsidP="00CE3F27">
      <w:pPr>
        <w:pStyle w:val="a3"/>
        <w:ind w:firstLine="567"/>
        <w:jc w:val="both"/>
        <w:rPr>
          <w:szCs w:val="28"/>
          <w:lang w:val="uk-UA" w:eastAsia="ru-RU"/>
        </w:rPr>
      </w:pPr>
      <w:r>
        <w:rPr>
          <w:lang w:val="uk-UA"/>
        </w:rPr>
        <w:t>Тобто, на нашу думку, зазначене положення статті проекту доцільно було б викласти в такій редакції: «</w:t>
      </w:r>
      <w:r>
        <w:rPr>
          <w:szCs w:val="28"/>
          <w:lang w:val="uk-UA" w:eastAsia="ru-RU"/>
        </w:rPr>
        <w:t xml:space="preserve">… державний уповноважений Антимонопольного комітету України, голова територіального відділення … </w:t>
      </w:r>
      <w:r w:rsidRPr="00CE3F27">
        <w:rPr>
          <w:szCs w:val="28"/>
          <w:u w:val="single"/>
          <w:lang w:val="uk-UA" w:eastAsia="ru-RU"/>
        </w:rPr>
        <w:t>продовжують</w:t>
      </w:r>
      <w:r>
        <w:rPr>
          <w:szCs w:val="28"/>
          <w:lang w:val="uk-UA" w:eastAsia="ru-RU"/>
        </w:rPr>
        <w:t xml:space="preserve"> строк розгляду справи…». </w:t>
      </w:r>
    </w:p>
    <w:p w:rsidR="00DF6623" w:rsidRPr="00CE3F27" w:rsidRDefault="00CE3F27" w:rsidP="00CE3F27">
      <w:pPr>
        <w:pStyle w:val="a3"/>
        <w:ind w:firstLine="708"/>
        <w:jc w:val="both"/>
        <w:rPr>
          <w:szCs w:val="28"/>
          <w:lang w:val="uk-UA"/>
        </w:rPr>
      </w:pPr>
      <w:r w:rsidRPr="00CE3F27">
        <w:rPr>
          <w:lang w:val="uk-UA"/>
        </w:rPr>
        <w:t xml:space="preserve">Це ж зауваження стосується й інших </w:t>
      </w:r>
      <w:r w:rsidR="004E600D">
        <w:rPr>
          <w:lang w:val="uk-UA"/>
        </w:rPr>
        <w:t xml:space="preserve">статей </w:t>
      </w:r>
      <w:r w:rsidRPr="00CE3F27">
        <w:rPr>
          <w:lang w:val="uk-UA"/>
        </w:rPr>
        <w:t>проекту, а саме: с</w:t>
      </w:r>
      <w:r w:rsidR="00DF6623" w:rsidRPr="00CE3F27">
        <w:rPr>
          <w:szCs w:val="28"/>
          <w:lang w:val="uk-UA"/>
        </w:rPr>
        <w:t xml:space="preserve">тосовно того, що «розгляд справи </w:t>
      </w:r>
      <w:r w:rsidR="00DF6623" w:rsidRPr="00CE3F27">
        <w:rPr>
          <w:szCs w:val="28"/>
          <w:u w:val="single"/>
          <w:lang w:val="uk-UA"/>
        </w:rPr>
        <w:t>може</w:t>
      </w:r>
      <w:r w:rsidR="00DF6623" w:rsidRPr="00CE3F27">
        <w:rPr>
          <w:szCs w:val="28"/>
          <w:lang w:val="uk-UA"/>
        </w:rPr>
        <w:t xml:space="preserve"> бути зупинено з власної ініціативи відповідного органу Антимонопольного комітету України …» (частина друга статті 38), «…</w:t>
      </w:r>
      <w:r w:rsidR="00DF6623" w:rsidRPr="00CE3F27">
        <w:rPr>
          <w:szCs w:val="28"/>
          <w:u w:val="single"/>
          <w:lang w:val="uk-UA"/>
        </w:rPr>
        <w:t>можуть</w:t>
      </w:r>
      <w:r w:rsidR="00DF6623" w:rsidRPr="00CE3F27">
        <w:rPr>
          <w:szCs w:val="28"/>
          <w:lang w:val="uk-UA"/>
        </w:rPr>
        <w:t xml:space="preserve"> проводити перевірки» (частина перша статті 41-1), «…</w:t>
      </w:r>
      <w:r w:rsidR="00DF6623" w:rsidRPr="00CE3F27">
        <w:rPr>
          <w:szCs w:val="28"/>
          <w:u w:val="single"/>
          <w:lang w:val="uk-UA"/>
        </w:rPr>
        <w:t>можуть</w:t>
      </w:r>
      <w:r w:rsidR="00DF6623" w:rsidRPr="00CE3F27">
        <w:rPr>
          <w:szCs w:val="28"/>
          <w:lang w:val="uk-UA"/>
        </w:rPr>
        <w:t xml:space="preserve"> проводити консультації» (частина перша статті 41-3), «…</w:t>
      </w:r>
      <w:r w:rsidR="00DF6623" w:rsidRPr="00CE3F27">
        <w:rPr>
          <w:szCs w:val="28"/>
          <w:u w:val="single"/>
          <w:lang w:val="uk-UA"/>
        </w:rPr>
        <w:t>може</w:t>
      </w:r>
      <w:r w:rsidR="00DF6623" w:rsidRPr="00CE3F27">
        <w:rPr>
          <w:szCs w:val="28"/>
          <w:lang w:val="uk-UA"/>
        </w:rPr>
        <w:t xml:space="preserve"> розкрити інформацію про хід та зміст переговорів…» (частина восьма статті 46-1). </w:t>
      </w:r>
    </w:p>
    <w:p w:rsidR="00FE1F17" w:rsidRDefault="00FE1F17" w:rsidP="00E474BA">
      <w:pPr>
        <w:pStyle w:val="a3"/>
        <w:ind w:firstLine="708"/>
        <w:jc w:val="both"/>
        <w:rPr>
          <w:lang w:val="uk-UA" w:eastAsia="ru-RU"/>
        </w:rPr>
      </w:pPr>
    </w:p>
    <w:p w:rsidR="004A0ACE" w:rsidRDefault="00CE3F27" w:rsidP="00CF4870">
      <w:pPr>
        <w:pStyle w:val="a3"/>
        <w:ind w:firstLine="708"/>
        <w:jc w:val="both"/>
        <w:rPr>
          <w:rFonts w:eastAsia="TimesNewRomanPSMT"/>
          <w:szCs w:val="28"/>
          <w:lang w:val="uk-UA" w:eastAsia="ru-RU"/>
        </w:rPr>
      </w:pPr>
      <w:r>
        <w:rPr>
          <w:lang w:val="uk-UA" w:eastAsia="ru-RU"/>
        </w:rPr>
        <w:t xml:space="preserve">6. </w:t>
      </w:r>
      <w:r w:rsidR="00CF4870">
        <w:rPr>
          <w:lang w:val="uk-UA" w:eastAsia="ru-RU"/>
        </w:rPr>
        <w:t xml:space="preserve">Статтею 46-1 проекту запроваджується новий правовий інститут – </w:t>
      </w:r>
      <w:r w:rsidR="00CF4870">
        <w:rPr>
          <w:rFonts w:eastAsia="TimesNewRomanPSMT"/>
          <w:szCs w:val="28"/>
          <w:lang w:val="uk-UA" w:eastAsia="ru-RU"/>
        </w:rPr>
        <w:t xml:space="preserve">«процедура врегулювання у справах про антиконкурентні узгодженні дії». </w:t>
      </w:r>
      <w:r w:rsidR="0070584F">
        <w:rPr>
          <w:rFonts w:eastAsia="TimesNewRomanPSMT"/>
          <w:szCs w:val="28"/>
          <w:lang w:val="uk-UA" w:eastAsia="ru-RU"/>
        </w:rPr>
        <w:t xml:space="preserve">Відтак, у </w:t>
      </w:r>
      <w:r w:rsidR="00CF4870">
        <w:rPr>
          <w:rFonts w:eastAsia="TimesNewRomanPSMT"/>
          <w:szCs w:val="28"/>
          <w:lang w:val="uk-UA" w:eastAsia="ru-RU"/>
        </w:rPr>
        <w:t>разі досягнення згоди між відповідачами та органом Антимонопольного комітету України «щодо істотних умов врегулювання</w:t>
      </w:r>
      <w:r w:rsidR="004A0ACE">
        <w:rPr>
          <w:rFonts w:eastAsia="TimesNewRomanPSMT"/>
          <w:szCs w:val="28"/>
          <w:lang w:val="uk-UA" w:eastAsia="ru-RU"/>
        </w:rPr>
        <w:t xml:space="preserve">…», відповідачами підписується угода про врегулювання, а Комітетом </w:t>
      </w:r>
      <w:r w:rsidR="0070584F">
        <w:rPr>
          <w:rFonts w:eastAsia="TimesNewRomanPSMT"/>
          <w:szCs w:val="28"/>
          <w:lang w:val="uk-UA" w:eastAsia="ru-RU"/>
        </w:rPr>
        <w:t>ця угода</w:t>
      </w:r>
      <w:r w:rsidR="004A0ACE">
        <w:rPr>
          <w:rFonts w:eastAsia="TimesNewRomanPSMT"/>
          <w:szCs w:val="28"/>
          <w:lang w:val="uk-UA" w:eastAsia="ru-RU"/>
        </w:rPr>
        <w:t xml:space="preserve"> направляється для затвердження до господарського суду. </w:t>
      </w:r>
    </w:p>
    <w:p w:rsidR="0070584F" w:rsidRDefault="0070584F" w:rsidP="00CE3F27">
      <w:pPr>
        <w:pStyle w:val="a3"/>
        <w:ind w:firstLine="708"/>
        <w:jc w:val="both"/>
        <w:rPr>
          <w:rFonts w:eastAsia="TimesNewRomanPSMT"/>
          <w:szCs w:val="28"/>
          <w:lang w:val="uk-UA" w:eastAsia="ru-RU"/>
        </w:rPr>
      </w:pPr>
      <w:r>
        <w:rPr>
          <w:rFonts w:eastAsia="TimesNewRomanPSMT"/>
          <w:szCs w:val="28"/>
          <w:lang w:val="uk-UA" w:eastAsia="ru-RU"/>
        </w:rPr>
        <w:t>Відтак, ч</w:t>
      </w:r>
      <w:r w:rsidR="004A0ACE">
        <w:rPr>
          <w:rFonts w:eastAsia="TimesNewRomanPSMT"/>
          <w:szCs w:val="28"/>
          <w:lang w:val="uk-UA" w:eastAsia="ru-RU"/>
        </w:rPr>
        <w:t>астин</w:t>
      </w:r>
      <w:r>
        <w:rPr>
          <w:rFonts w:eastAsia="TimesNewRomanPSMT"/>
          <w:szCs w:val="28"/>
          <w:lang w:val="uk-UA" w:eastAsia="ru-RU"/>
        </w:rPr>
        <w:t>ою тринадцятою цієї статті проекту передбачаються умови, за яких господарський суд відмовляє у затвердженні угоди про врегулювання.</w:t>
      </w:r>
    </w:p>
    <w:p w:rsidR="00CE3F27" w:rsidRDefault="00CE3F27" w:rsidP="00CE3F27">
      <w:pPr>
        <w:pStyle w:val="a3"/>
        <w:ind w:firstLine="708"/>
        <w:jc w:val="both"/>
        <w:rPr>
          <w:rStyle w:val="st42"/>
          <w:color w:val="auto"/>
          <w:lang w:val="uk-UA"/>
        </w:rPr>
      </w:pPr>
      <w:r>
        <w:rPr>
          <w:rFonts w:eastAsia="TimesNewRomanPSMT"/>
          <w:szCs w:val="28"/>
          <w:lang w:val="uk-UA" w:eastAsia="ru-RU"/>
        </w:rPr>
        <w:t>Однак</w:t>
      </w:r>
      <w:r w:rsidR="0070584F">
        <w:rPr>
          <w:rFonts w:eastAsia="TimesNewRomanPSMT"/>
          <w:szCs w:val="28"/>
          <w:lang w:val="uk-UA" w:eastAsia="ru-RU"/>
        </w:rPr>
        <w:t>,</w:t>
      </w:r>
      <w:r>
        <w:rPr>
          <w:rFonts w:eastAsia="TimesNewRomanPSMT"/>
          <w:szCs w:val="28"/>
          <w:lang w:val="uk-UA" w:eastAsia="ru-RU"/>
        </w:rPr>
        <w:t xml:space="preserve"> це суперечить статті 1 Господарського кодексу України, за як</w:t>
      </w:r>
      <w:r w:rsidR="006F0C54">
        <w:rPr>
          <w:rFonts w:eastAsia="TimesNewRomanPSMT"/>
          <w:szCs w:val="28"/>
          <w:lang w:val="uk-UA" w:eastAsia="ru-RU"/>
        </w:rPr>
        <w:t>ою</w:t>
      </w:r>
      <w:r>
        <w:rPr>
          <w:rFonts w:eastAsia="TimesNewRomanPSMT"/>
          <w:szCs w:val="28"/>
          <w:lang w:val="uk-UA" w:eastAsia="ru-RU"/>
        </w:rPr>
        <w:t xml:space="preserve"> </w:t>
      </w:r>
      <w:r w:rsidRPr="0070584F">
        <w:rPr>
          <w:rFonts w:eastAsia="TimesNewRomanPSMT"/>
          <w:szCs w:val="28"/>
          <w:lang w:val="uk-UA" w:eastAsia="ru-RU"/>
        </w:rPr>
        <w:t>Г</w:t>
      </w:r>
      <w:r w:rsidRPr="0070584F">
        <w:rPr>
          <w:rStyle w:val="st42"/>
          <w:lang w:val="uk-UA"/>
        </w:rPr>
        <w:t>осподарський процесуальний кодекс України визначає юрисдикцію та повноваження господарських судів, встановлює порядок здійснення судочинства у господарських судах</w:t>
      </w:r>
      <w:r>
        <w:rPr>
          <w:rStyle w:val="st42"/>
          <w:lang w:val="uk-UA"/>
        </w:rPr>
        <w:t xml:space="preserve">. </w:t>
      </w:r>
      <w:r w:rsidR="0070584F">
        <w:rPr>
          <w:rStyle w:val="st42"/>
          <w:lang w:val="uk-UA"/>
        </w:rPr>
        <w:t>Крім того, це не узгоджується із статтею 3 цього Кодексу</w:t>
      </w:r>
      <w:r w:rsidR="006F0C54">
        <w:rPr>
          <w:rStyle w:val="st42"/>
          <w:lang w:val="uk-UA"/>
        </w:rPr>
        <w:t>,</w:t>
      </w:r>
      <w:r w:rsidR="0070584F">
        <w:rPr>
          <w:rStyle w:val="st42"/>
          <w:lang w:val="uk-UA"/>
        </w:rPr>
        <w:t xml:space="preserve"> </w:t>
      </w:r>
      <w:r w:rsidR="006F0C54">
        <w:rPr>
          <w:rStyle w:val="st42"/>
          <w:lang w:val="uk-UA"/>
        </w:rPr>
        <w:t>оскільки</w:t>
      </w:r>
      <w:r w:rsidR="0070584F">
        <w:rPr>
          <w:rStyle w:val="st42"/>
          <w:lang w:val="uk-UA"/>
        </w:rPr>
        <w:t xml:space="preserve"> с</w:t>
      </w:r>
      <w:r w:rsidR="0070584F" w:rsidRPr="0070584F">
        <w:rPr>
          <w:rStyle w:val="st42"/>
          <w:color w:val="auto"/>
          <w:lang w:val="uk-UA"/>
        </w:rPr>
        <w:t xml:space="preserve">удочинство в господарських судах здійснюється відповідно до </w:t>
      </w:r>
      <w:r w:rsidR="0070584F" w:rsidRPr="0070584F">
        <w:rPr>
          <w:rStyle w:val="st96"/>
          <w:color w:val="auto"/>
          <w:lang w:val="uk-UA"/>
        </w:rPr>
        <w:t>Конституції України</w:t>
      </w:r>
      <w:r w:rsidR="0070584F" w:rsidRPr="0070584F">
        <w:rPr>
          <w:rStyle w:val="st42"/>
          <w:color w:val="auto"/>
          <w:lang w:val="uk-UA"/>
        </w:rPr>
        <w:t xml:space="preserve">, цього Кодексу, </w:t>
      </w:r>
      <w:r w:rsidR="0070584F" w:rsidRPr="0070584F">
        <w:rPr>
          <w:rStyle w:val="st96"/>
          <w:color w:val="auto"/>
          <w:lang w:val="uk-UA"/>
        </w:rPr>
        <w:t>Закону України</w:t>
      </w:r>
      <w:r w:rsidR="0070584F" w:rsidRPr="0070584F">
        <w:rPr>
          <w:rStyle w:val="st42"/>
          <w:color w:val="auto"/>
          <w:lang w:val="uk-UA"/>
        </w:rPr>
        <w:t xml:space="preserve"> </w:t>
      </w:r>
      <w:r w:rsidR="0070584F">
        <w:rPr>
          <w:rStyle w:val="st42"/>
          <w:color w:val="auto"/>
          <w:lang w:val="uk-UA"/>
        </w:rPr>
        <w:t>«</w:t>
      </w:r>
      <w:r w:rsidR="0070584F" w:rsidRPr="0070584F">
        <w:rPr>
          <w:rStyle w:val="st42"/>
          <w:color w:val="auto"/>
          <w:lang w:val="uk-UA"/>
        </w:rPr>
        <w:t>Про міжнародне приватне право</w:t>
      </w:r>
      <w:r w:rsidR="0070584F">
        <w:rPr>
          <w:rStyle w:val="st42"/>
          <w:color w:val="auto"/>
          <w:lang w:val="uk-UA"/>
        </w:rPr>
        <w:t>»</w:t>
      </w:r>
      <w:r w:rsidR="0070584F" w:rsidRPr="0070584F">
        <w:rPr>
          <w:rStyle w:val="st42"/>
          <w:color w:val="auto"/>
          <w:lang w:val="uk-UA"/>
        </w:rPr>
        <w:t xml:space="preserve">, </w:t>
      </w:r>
      <w:r w:rsidR="0070584F" w:rsidRPr="0070584F">
        <w:rPr>
          <w:rStyle w:val="st96"/>
          <w:color w:val="auto"/>
          <w:lang w:val="uk-UA"/>
        </w:rPr>
        <w:t>Закону України</w:t>
      </w:r>
      <w:r w:rsidR="0070584F" w:rsidRPr="0070584F">
        <w:rPr>
          <w:rStyle w:val="st42"/>
          <w:color w:val="auto"/>
          <w:lang w:val="uk-UA"/>
        </w:rPr>
        <w:t xml:space="preserve"> </w:t>
      </w:r>
      <w:r w:rsidR="0070584F">
        <w:rPr>
          <w:rStyle w:val="st42"/>
          <w:color w:val="auto"/>
          <w:lang w:val="uk-UA"/>
        </w:rPr>
        <w:t>«</w:t>
      </w:r>
      <w:r w:rsidR="0070584F" w:rsidRPr="0070584F">
        <w:rPr>
          <w:rStyle w:val="st42"/>
          <w:color w:val="auto"/>
          <w:lang w:val="uk-UA"/>
        </w:rPr>
        <w:t>Про відновлення платоспроможності боржника або визнання його банкрутом</w:t>
      </w:r>
      <w:r w:rsidR="0070584F">
        <w:rPr>
          <w:rStyle w:val="st42"/>
          <w:color w:val="auto"/>
          <w:lang w:val="uk-UA"/>
        </w:rPr>
        <w:t>»</w:t>
      </w:r>
      <w:r w:rsidR="0070584F" w:rsidRPr="0070584F">
        <w:rPr>
          <w:rStyle w:val="st42"/>
          <w:color w:val="auto"/>
          <w:lang w:val="uk-UA"/>
        </w:rPr>
        <w:t>, а також міжнародних договорів, згода на обов’язковість яких надана Верховною Радою України</w:t>
      </w:r>
      <w:r w:rsidR="0070584F">
        <w:rPr>
          <w:rStyle w:val="st42"/>
          <w:color w:val="auto"/>
          <w:lang w:val="uk-UA"/>
        </w:rPr>
        <w:t>.</w:t>
      </w:r>
      <w:r w:rsidR="006F0C54">
        <w:rPr>
          <w:rStyle w:val="st42"/>
          <w:color w:val="auto"/>
          <w:lang w:val="uk-UA"/>
        </w:rPr>
        <w:t xml:space="preserve"> </w:t>
      </w:r>
    </w:p>
    <w:p w:rsidR="0070584F" w:rsidRDefault="0070584F" w:rsidP="00E474BA">
      <w:pPr>
        <w:pStyle w:val="a3"/>
        <w:ind w:firstLine="708"/>
        <w:jc w:val="both"/>
        <w:rPr>
          <w:rFonts w:eastAsiaTheme="minorHAnsi"/>
          <w:color w:val="000000"/>
          <w:szCs w:val="28"/>
          <w:lang w:val="uk-UA"/>
        </w:rPr>
      </w:pPr>
      <w:r>
        <w:rPr>
          <w:rStyle w:val="st42"/>
          <w:color w:val="auto"/>
          <w:lang w:val="uk-UA"/>
        </w:rPr>
        <w:t>Звертаємо також увагу на те, що положення частини тринадцятої цієї статті проекту, за якими «порядок затвердження судом угоди про врегулювання між відповідачем та органом Антимонопольного комітету України визначається Господарським процесуальним кодексом України»</w:t>
      </w:r>
      <w:r w:rsidR="004E600D">
        <w:rPr>
          <w:rStyle w:val="st42"/>
          <w:color w:val="auto"/>
          <w:lang w:val="uk-UA"/>
        </w:rPr>
        <w:t>,</w:t>
      </w:r>
      <w:r>
        <w:rPr>
          <w:rStyle w:val="st42"/>
          <w:color w:val="auto"/>
          <w:lang w:val="uk-UA"/>
        </w:rPr>
        <w:t xml:space="preserve">  </w:t>
      </w:r>
      <w:r w:rsidR="00960F59" w:rsidRPr="00960F59">
        <w:rPr>
          <w:rStyle w:val="st42"/>
          <w:szCs w:val="28"/>
          <w:lang w:val="uk-UA"/>
        </w:rPr>
        <w:t>не відповідає вимогам статті 90 Регламенту Верховної Ради України, яка вимагає</w:t>
      </w:r>
      <w:r w:rsidR="00D12D23">
        <w:rPr>
          <w:rStyle w:val="st42"/>
          <w:szCs w:val="28"/>
          <w:lang w:val="uk-UA"/>
        </w:rPr>
        <w:t>, що</w:t>
      </w:r>
      <w:r w:rsidR="00960F59" w:rsidRPr="00960F59">
        <w:rPr>
          <w:rStyle w:val="st42"/>
          <w:szCs w:val="28"/>
          <w:lang w:val="uk-UA"/>
        </w:rPr>
        <w:t xml:space="preserve"> як</w:t>
      </w:r>
      <w:r w:rsidR="00960F59" w:rsidRPr="00960F59">
        <w:rPr>
          <w:rFonts w:eastAsiaTheme="minorHAnsi"/>
          <w:color w:val="000000"/>
          <w:szCs w:val="28"/>
          <w:lang w:val="uk-UA"/>
        </w:rPr>
        <w:t>що для реалізації положень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w:t>
      </w:r>
    </w:p>
    <w:p w:rsidR="00960F59" w:rsidRPr="00FE1F17" w:rsidRDefault="00960F59" w:rsidP="00E474BA">
      <w:pPr>
        <w:pStyle w:val="a3"/>
        <w:ind w:firstLine="708"/>
        <w:jc w:val="both"/>
        <w:rPr>
          <w:lang w:val="uk-UA" w:eastAsia="ru-RU"/>
        </w:rPr>
      </w:pPr>
    </w:p>
    <w:p w:rsidR="00B21A40" w:rsidRDefault="00B21A40" w:rsidP="00B21A40">
      <w:pPr>
        <w:pStyle w:val="a3"/>
        <w:jc w:val="both"/>
        <w:rPr>
          <w:lang w:val="uk-UA"/>
        </w:rPr>
      </w:pPr>
      <w:r>
        <w:rPr>
          <w:lang w:val="uk-UA"/>
        </w:rPr>
        <w:lastRenderedPageBreak/>
        <w:tab/>
      </w:r>
      <w:r w:rsidR="00CE3F27">
        <w:rPr>
          <w:lang w:val="uk-UA"/>
        </w:rPr>
        <w:t>7</w:t>
      </w:r>
      <w:r w:rsidRPr="004D302D">
        <w:rPr>
          <w:lang w:val="uk-UA"/>
        </w:rPr>
        <w:t xml:space="preserve">. </w:t>
      </w:r>
      <w:r w:rsidR="00DF6623">
        <w:rPr>
          <w:lang w:val="uk-UA"/>
        </w:rPr>
        <w:t>В частині третій</w:t>
      </w:r>
      <w:r>
        <w:rPr>
          <w:lang w:val="uk-UA"/>
        </w:rPr>
        <w:t xml:space="preserve"> статті 41-1 проекту </w:t>
      </w:r>
      <w:r w:rsidR="00DF6623">
        <w:rPr>
          <w:lang w:val="uk-UA"/>
        </w:rPr>
        <w:t xml:space="preserve">передбачено, що </w:t>
      </w:r>
      <w:r>
        <w:rPr>
          <w:lang w:val="uk-UA"/>
        </w:rPr>
        <w:t xml:space="preserve">члени комісії з перевірки мають право «залучати працівників </w:t>
      </w:r>
      <w:r w:rsidRPr="00B21A40">
        <w:rPr>
          <w:u w:val="single"/>
          <w:lang w:val="uk-UA"/>
        </w:rPr>
        <w:t>органів внутрішніх справ</w:t>
      </w:r>
      <w:r>
        <w:rPr>
          <w:lang w:val="uk-UA"/>
        </w:rPr>
        <w:t xml:space="preserve"> для здійснення заходів, передбачених законом, для усунення перешкод у проведенні перевірки». </w:t>
      </w:r>
      <w:r w:rsidR="00D12D23">
        <w:rPr>
          <w:lang w:val="uk-UA"/>
        </w:rPr>
        <w:t>При цьому порядку реалізації такого повноваження, на порушення статті 19 Конституції України, в проекті не визначено.</w:t>
      </w:r>
    </w:p>
    <w:p w:rsidR="00B21A40" w:rsidRDefault="00B21A40" w:rsidP="00B21A40">
      <w:pPr>
        <w:pStyle w:val="a3"/>
        <w:jc w:val="both"/>
        <w:rPr>
          <w:lang w:val="uk-UA"/>
        </w:rPr>
      </w:pPr>
      <w:r>
        <w:rPr>
          <w:lang w:val="uk-UA"/>
        </w:rPr>
        <w:tab/>
        <w:t xml:space="preserve">Разом з тим, зважаючи на </w:t>
      </w:r>
      <w:r w:rsidR="004D302D">
        <w:rPr>
          <w:lang w:val="uk-UA"/>
        </w:rPr>
        <w:t xml:space="preserve">основні повноваження </w:t>
      </w:r>
      <w:r>
        <w:rPr>
          <w:lang w:val="uk-UA"/>
        </w:rPr>
        <w:t xml:space="preserve">поліції, </w:t>
      </w:r>
      <w:r w:rsidR="004D302D">
        <w:rPr>
          <w:lang w:val="uk-UA"/>
        </w:rPr>
        <w:t>передбачен</w:t>
      </w:r>
      <w:r>
        <w:rPr>
          <w:lang w:val="uk-UA"/>
        </w:rPr>
        <w:t>і статт</w:t>
      </w:r>
      <w:r w:rsidR="004D302D">
        <w:rPr>
          <w:lang w:val="uk-UA"/>
        </w:rPr>
        <w:t>ею</w:t>
      </w:r>
      <w:r>
        <w:rPr>
          <w:lang w:val="uk-UA"/>
        </w:rPr>
        <w:t xml:space="preserve"> 2</w:t>
      </w:r>
      <w:r w:rsidR="004D302D">
        <w:rPr>
          <w:lang w:val="uk-UA"/>
        </w:rPr>
        <w:t>3</w:t>
      </w:r>
      <w:r>
        <w:rPr>
          <w:lang w:val="uk-UA"/>
        </w:rPr>
        <w:t xml:space="preserve"> Закону України «Про Національну поліцію», ці заходи може здійснювати поліція. Відтак, проект потребує узгодження з цим Законом.   </w:t>
      </w:r>
    </w:p>
    <w:p w:rsidR="00B21A40" w:rsidRDefault="00B21A40" w:rsidP="00E474BA">
      <w:pPr>
        <w:pStyle w:val="a3"/>
        <w:rPr>
          <w:lang w:val="uk-UA"/>
        </w:rPr>
      </w:pPr>
    </w:p>
    <w:p w:rsidR="00960F59" w:rsidRDefault="00960F59" w:rsidP="00960F59">
      <w:pPr>
        <w:ind w:firstLine="708"/>
        <w:jc w:val="both"/>
        <w:rPr>
          <w:rFonts w:ascii="Times New Roman" w:hAnsi="Times New Roman"/>
          <w:color w:val="000000"/>
          <w:sz w:val="28"/>
          <w:szCs w:val="28"/>
        </w:rPr>
      </w:pPr>
      <w:r w:rsidRPr="00960F59">
        <w:rPr>
          <w:rFonts w:ascii="Times New Roman" w:hAnsi="Times New Roman"/>
          <w:sz w:val="28"/>
          <w:szCs w:val="28"/>
        </w:rPr>
        <w:t>8.</w:t>
      </w:r>
      <w:r>
        <w:t xml:space="preserve"> </w:t>
      </w:r>
      <w:r w:rsidRPr="00960F59">
        <w:rPr>
          <w:rFonts w:ascii="Times New Roman CYR" w:hAnsi="Times New Roman"/>
          <w:sz w:val="28"/>
          <w:szCs w:val="28"/>
        </w:rPr>
        <w:t>Принагідно</w:t>
      </w:r>
      <w:r w:rsidRPr="00960F59">
        <w:rPr>
          <w:rFonts w:ascii="Times New Roman CYR" w:hAnsi="Times New Roman"/>
          <w:sz w:val="28"/>
          <w:szCs w:val="28"/>
        </w:rPr>
        <w:t xml:space="preserve"> </w:t>
      </w:r>
      <w:r w:rsidRPr="00960F59">
        <w:rPr>
          <w:rFonts w:ascii="Times New Roman CYR" w:hAnsi="Times New Roman"/>
          <w:sz w:val="28"/>
          <w:szCs w:val="28"/>
        </w:rPr>
        <w:t>зазначимо</w:t>
      </w:r>
      <w:r w:rsidRPr="00960F59">
        <w:rPr>
          <w:rFonts w:ascii="Times New Roman CYR" w:hAnsi="Times New Roman"/>
          <w:sz w:val="28"/>
          <w:szCs w:val="28"/>
        </w:rPr>
        <w:t xml:space="preserve">, </w:t>
      </w:r>
      <w:r w:rsidRPr="00960F59">
        <w:rPr>
          <w:rFonts w:ascii="Times New Roman CYR" w:hAnsi="Times New Roman"/>
          <w:sz w:val="28"/>
          <w:szCs w:val="28"/>
        </w:rPr>
        <w:t>що</w:t>
      </w:r>
      <w:r w:rsidRPr="00960F59">
        <w:rPr>
          <w:rFonts w:ascii="Times New Roman CYR" w:hAnsi="Times New Roman"/>
          <w:sz w:val="28"/>
          <w:szCs w:val="28"/>
        </w:rPr>
        <w:t xml:space="preserve"> </w:t>
      </w:r>
      <w:r w:rsidRPr="00960F59">
        <w:rPr>
          <w:rFonts w:ascii="Times New Roman CYR" w:hAnsi="Times New Roman"/>
          <w:sz w:val="28"/>
          <w:szCs w:val="28"/>
        </w:rPr>
        <w:t>чинний</w:t>
      </w:r>
      <w:r w:rsidRPr="00960F59">
        <w:rPr>
          <w:rFonts w:ascii="Times New Roman CYR" w:hAnsi="Times New Roman"/>
          <w:sz w:val="28"/>
          <w:szCs w:val="28"/>
        </w:rPr>
        <w:t xml:space="preserve"> </w:t>
      </w:r>
      <w:r w:rsidRPr="00960F59">
        <w:rPr>
          <w:rFonts w:ascii="Times New Roman CYR" w:hAnsi="Times New Roman"/>
          <w:sz w:val="28"/>
          <w:szCs w:val="28"/>
        </w:rPr>
        <w:t>Закон</w:t>
      </w:r>
      <w:r w:rsidRPr="00960F59">
        <w:rPr>
          <w:rFonts w:ascii="Times New Roman CYR" w:hAnsi="Times New Roman"/>
          <w:sz w:val="28"/>
          <w:szCs w:val="28"/>
        </w:rPr>
        <w:t xml:space="preserve"> </w:t>
      </w:r>
      <w:r w:rsidRPr="00960F59">
        <w:rPr>
          <w:rFonts w:ascii="Times New Roman CYR" w:hAnsi="Times New Roman"/>
          <w:sz w:val="28"/>
          <w:szCs w:val="28"/>
        </w:rPr>
        <w:t>України</w:t>
      </w:r>
      <w:r w:rsidRPr="00960F59">
        <w:rPr>
          <w:rFonts w:ascii="Times New Roman CYR" w:hAnsi="Times New Roman"/>
          <w:sz w:val="28"/>
          <w:szCs w:val="28"/>
        </w:rPr>
        <w:t xml:space="preserve"> </w:t>
      </w:r>
      <w:r w:rsidRPr="00960F59">
        <w:rPr>
          <w:rFonts w:ascii="Times New Roman" w:eastAsia="Calibri" w:hAnsi="Times New Roman"/>
          <w:sz w:val="28"/>
          <w:szCs w:val="28"/>
        </w:rPr>
        <w:t xml:space="preserve">«Про захист економічної конкуренції», а також цей проект використовують термінологію, яка має дискусійний характер. Зокрема, у проекті йдеться про те, що </w:t>
      </w:r>
      <w:r>
        <w:rPr>
          <w:rFonts w:ascii="Times New Roman" w:eastAsia="Calibri" w:hAnsi="Times New Roman"/>
          <w:sz w:val="28"/>
          <w:szCs w:val="28"/>
        </w:rPr>
        <w:t xml:space="preserve">особи, які беруть участь у справі, мають право </w:t>
      </w:r>
      <w:r w:rsidRPr="00960F59">
        <w:rPr>
          <w:rFonts w:ascii="Times New Roman" w:eastAsia="Calibri" w:hAnsi="Times New Roman"/>
          <w:sz w:val="28"/>
          <w:szCs w:val="28"/>
        </w:rPr>
        <w:t>«</w:t>
      </w:r>
      <w:r w:rsidRPr="00960F59">
        <w:rPr>
          <w:rFonts w:ascii="Times New Roman" w:hAnsi="Times New Roman"/>
          <w:color w:val="000000"/>
          <w:sz w:val="28"/>
          <w:szCs w:val="28"/>
        </w:rPr>
        <w:t>знати, ознаки якого передбаченого законом порушення законодавства про захист економічної конкуренції є підставою для розгляду справи</w:t>
      </w:r>
      <w:r>
        <w:rPr>
          <w:rFonts w:ascii="Times New Roman" w:hAnsi="Times New Roman"/>
          <w:color w:val="000000"/>
          <w:sz w:val="28"/>
          <w:szCs w:val="28"/>
        </w:rPr>
        <w:t xml:space="preserve"> </w:t>
      </w:r>
      <w:r w:rsidRPr="00960F59">
        <w:rPr>
          <w:rFonts w:ascii="Times New Roman" w:hAnsi="Times New Roman"/>
          <w:color w:val="000000"/>
          <w:sz w:val="28"/>
          <w:szCs w:val="28"/>
        </w:rPr>
        <w:t>…, в яких діях відповідача вбачаються ознаки порушення»</w:t>
      </w:r>
      <w:r>
        <w:rPr>
          <w:rFonts w:ascii="Times New Roman" w:hAnsi="Times New Roman"/>
          <w:color w:val="000000"/>
          <w:sz w:val="28"/>
          <w:szCs w:val="28"/>
        </w:rPr>
        <w:t xml:space="preserve"> (стаття 40 проекту). </w:t>
      </w:r>
      <w:r w:rsidR="00A83FAD">
        <w:rPr>
          <w:rFonts w:ascii="Times New Roman" w:hAnsi="Times New Roman"/>
          <w:color w:val="000000"/>
          <w:sz w:val="28"/>
          <w:szCs w:val="28"/>
        </w:rPr>
        <w:t xml:space="preserve">«Завданням розгляду справ про порушення законодавства … є з’ясування … фактичних обставин у зв’язку із встановленням ознак порушення…» (стаття 35-1). </w:t>
      </w:r>
      <w:r>
        <w:rPr>
          <w:rFonts w:ascii="Times New Roman" w:hAnsi="Times New Roman"/>
          <w:color w:val="000000"/>
          <w:sz w:val="28"/>
          <w:szCs w:val="28"/>
        </w:rPr>
        <w:t xml:space="preserve">На нашу думку, в проекті, а також чинному Законі мало б йтися про те, що </w:t>
      </w:r>
      <w:r w:rsidR="00A83FAD">
        <w:rPr>
          <w:rFonts w:ascii="Times New Roman" w:hAnsi="Times New Roman"/>
          <w:color w:val="000000"/>
          <w:sz w:val="28"/>
          <w:szCs w:val="28"/>
        </w:rPr>
        <w:t>підставою розгляду справи є виявлення порушення н</w:t>
      </w:r>
      <w:r w:rsidR="004E600D">
        <w:rPr>
          <w:rFonts w:ascii="Times New Roman" w:hAnsi="Times New Roman"/>
          <w:color w:val="000000"/>
          <w:sz w:val="28"/>
          <w:szCs w:val="28"/>
        </w:rPr>
        <w:t>орм закону, а не ознак порушення</w:t>
      </w:r>
      <w:r w:rsidR="00A83FAD">
        <w:rPr>
          <w:rFonts w:ascii="Times New Roman" w:hAnsi="Times New Roman"/>
          <w:color w:val="000000"/>
          <w:sz w:val="28"/>
          <w:szCs w:val="28"/>
        </w:rPr>
        <w:t xml:space="preserve">. </w:t>
      </w:r>
    </w:p>
    <w:p w:rsidR="009D5FD5" w:rsidRPr="00B342E2" w:rsidRDefault="00A83FAD" w:rsidP="00B342E2">
      <w:pPr>
        <w:ind w:firstLine="708"/>
        <w:jc w:val="both"/>
        <w:rPr>
          <w:rFonts w:ascii="Times New Roman" w:hAnsi="Times New Roman"/>
          <w:sz w:val="28"/>
          <w:szCs w:val="28"/>
        </w:rPr>
      </w:pPr>
      <w:r>
        <w:rPr>
          <w:rFonts w:ascii="Times New Roman" w:hAnsi="Times New Roman"/>
          <w:color w:val="000000"/>
          <w:sz w:val="28"/>
          <w:szCs w:val="28"/>
        </w:rPr>
        <w:t xml:space="preserve">Звертаємо також увагу, що </w:t>
      </w:r>
      <w:r w:rsidR="004E600D">
        <w:rPr>
          <w:rFonts w:ascii="Times New Roman" w:hAnsi="Times New Roman"/>
          <w:color w:val="000000"/>
          <w:sz w:val="28"/>
          <w:szCs w:val="28"/>
        </w:rPr>
        <w:t xml:space="preserve">редакційно </w:t>
      </w:r>
      <w:r w:rsidR="00D12D23">
        <w:rPr>
          <w:rFonts w:ascii="Times New Roman" w:hAnsi="Times New Roman"/>
          <w:color w:val="000000"/>
          <w:sz w:val="28"/>
          <w:szCs w:val="28"/>
        </w:rPr>
        <w:t xml:space="preserve">невдалими є й інші </w:t>
      </w:r>
      <w:r>
        <w:rPr>
          <w:rFonts w:ascii="Times New Roman" w:hAnsi="Times New Roman"/>
          <w:color w:val="000000"/>
          <w:sz w:val="28"/>
          <w:szCs w:val="28"/>
        </w:rPr>
        <w:t>положення проекту, які</w:t>
      </w:r>
      <w:r w:rsidR="00D12D23">
        <w:rPr>
          <w:rFonts w:ascii="Times New Roman" w:hAnsi="Times New Roman"/>
          <w:color w:val="000000"/>
          <w:sz w:val="28"/>
          <w:szCs w:val="28"/>
        </w:rPr>
        <w:t>,</w:t>
      </w:r>
      <w:r>
        <w:rPr>
          <w:rFonts w:ascii="Times New Roman" w:hAnsi="Times New Roman"/>
          <w:color w:val="000000"/>
          <w:sz w:val="28"/>
          <w:szCs w:val="28"/>
        </w:rPr>
        <w:t xml:space="preserve"> на наш погляд, потребують уточнення, а саме: «прийняття справедливого рішення у справі» (статті 35-1), </w:t>
      </w:r>
      <w:r w:rsidR="00B342E2">
        <w:rPr>
          <w:rFonts w:ascii="Times New Roman" w:hAnsi="Times New Roman"/>
          <w:color w:val="000000"/>
          <w:sz w:val="28"/>
          <w:szCs w:val="28"/>
        </w:rPr>
        <w:t xml:space="preserve">«підозрюване порушення» (стаття 41-3), </w:t>
      </w:r>
      <w:r w:rsidR="005635D6">
        <w:rPr>
          <w:rFonts w:ascii="Times New Roman" w:hAnsi="Times New Roman"/>
          <w:color w:val="000000"/>
          <w:sz w:val="28"/>
          <w:szCs w:val="28"/>
        </w:rPr>
        <w:t xml:space="preserve">«використання органами Антимонопольного комітету України своїх ресурсів» (стаття 46-1), </w:t>
      </w:r>
      <w:r w:rsidR="00B342E2" w:rsidRPr="00B342E2">
        <w:rPr>
          <w:rFonts w:ascii="Times New Roman" w:hAnsi="Times New Roman"/>
          <w:color w:val="000000"/>
          <w:sz w:val="28"/>
          <w:szCs w:val="28"/>
        </w:rPr>
        <w:t>«</w:t>
      </w:r>
      <w:r w:rsidR="009D5FD5" w:rsidRPr="00B342E2">
        <w:rPr>
          <w:rFonts w:ascii="Times New Roman" w:hAnsi="Times New Roman"/>
          <w:sz w:val="28"/>
          <w:szCs w:val="28"/>
        </w:rPr>
        <w:t xml:space="preserve">оприлюднені Антимонопольним комітетом України підходи до визначення розмірів штрафів» (частина </w:t>
      </w:r>
      <w:r w:rsidR="00B342E2" w:rsidRPr="00B342E2">
        <w:rPr>
          <w:rFonts w:ascii="Times New Roman" w:hAnsi="Times New Roman"/>
          <w:sz w:val="28"/>
          <w:szCs w:val="28"/>
        </w:rPr>
        <w:t xml:space="preserve">друга </w:t>
      </w:r>
      <w:r w:rsidR="009D5FD5" w:rsidRPr="00B342E2">
        <w:rPr>
          <w:rFonts w:ascii="Times New Roman" w:hAnsi="Times New Roman"/>
          <w:sz w:val="28"/>
          <w:szCs w:val="28"/>
        </w:rPr>
        <w:t>статті 52-1)</w:t>
      </w:r>
      <w:r w:rsidR="00A92509" w:rsidRPr="00B342E2">
        <w:rPr>
          <w:rFonts w:ascii="Times New Roman" w:hAnsi="Times New Roman"/>
          <w:sz w:val="28"/>
          <w:szCs w:val="28"/>
        </w:rPr>
        <w:t>.</w:t>
      </w:r>
    </w:p>
    <w:p w:rsidR="009D5FD5" w:rsidRDefault="009D5FD5" w:rsidP="009D5FD5">
      <w:pPr>
        <w:pStyle w:val="a3"/>
        <w:jc w:val="both"/>
        <w:rPr>
          <w:rFonts w:ascii="Times New Roman CYR" w:eastAsia="Times New Roman"/>
          <w:szCs w:val="28"/>
          <w:lang w:val="uk-UA" w:eastAsia="ru-RU"/>
        </w:rPr>
      </w:pPr>
      <w:r>
        <w:rPr>
          <w:rFonts w:ascii="Times New Roman CYR" w:eastAsia="Times New Roman"/>
          <w:szCs w:val="28"/>
          <w:lang w:val="uk-UA" w:eastAsia="ru-RU"/>
        </w:rPr>
        <w:tab/>
        <w:t xml:space="preserve"> </w:t>
      </w:r>
    </w:p>
    <w:p w:rsidR="005635D6" w:rsidRDefault="00CF6E70" w:rsidP="00B342E2">
      <w:pPr>
        <w:pStyle w:val="a3"/>
        <w:ind w:firstLine="567"/>
        <w:jc w:val="both"/>
        <w:rPr>
          <w:rFonts w:eastAsia="TimesNewRomanPSMT"/>
          <w:szCs w:val="28"/>
          <w:lang w:val="uk-UA" w:eastAsia="ru-RU"/>
        </w:rPr>
      </w:pPr>
      <w:r>
        <w:rPr>
          <w:rFonts w:ascii="Times New Roman CYR" w:eastAsia="Times New Roman"/>
          <w:szCs w:val="28"/>
          <w:lang w:val="uk-UA" w:eastAsia="ru-RU"/>
        </w:rPr>
        <w:t xml:space="preserve"> </w:t>
      </w:r>
      <w:r w:rsidR="00E474BA">
        <w:rPr>
          <w:szCs w:val="28"/>
          <w:lang w:val="uk-UA" w:eastAsia="ru-RU"/>
        </w:rPr>
        <w:t xml:space="preserve"> </w:t>
      </w:r>
      <w:r w:rsidR="00B91472">
        <w:rPr>
          <w:rFonts w:eastAsia="TimesNewRomanPSMT"/>
          <w:szCs w:val="28"/>
          <w:lang w:val="uk-UA" w:eastAsia="ru-RU"/>
        </w:rPr>
        <w:t>9</w:t>
      </w:r>
      <w:r w:rsidR="00E474BA">
        <w:rPr>
          <w:rFonts w:eastAsia="TimesNewRomanPSMT"/>
          <w:szCs w:val="28"/>
          <w:lang w:val="uk-UA" w:eastAsia="ru-RU"/>
        </w:rPr>
        <w:t xml:space="preserve">. Законопроект потребує техніко-юридичного доопрацювання. </w:t>
      </w:r>
    </w:p>
    <w:p w:rsidR="00960F59" w:rsidRDefault="005635D6" w:rsidP="00960F59">
      <w:pPr>
        <w:pStyle w:val="a3"/>
        <w:ind w:firstLine="708"/>
        <w:jc w:val="both"/>
        <w:rPr>
          <w:szCs w:val="28"/>
          <w:lang w:val="uk-UA" w:eastAsia="ru-RU"/>
        </w:rPr>
      </w:pPr>
      <w:r>
        <w:rPr>
          <w:rFonts w:eastAsia="TimesNewRomanPSMT"/>
          <w:szCs w:val="28"/>
          <w:lang w:val="uk-UA" w:eastAsia="ru-RU"/>
        </w:rPr>
        <w:t xml:space="preserve">Так, із тексту проекту не зрозуміло, як в розпорядженні про проведення перевірки повинна міститися … «копія розпорядження про її початок, якщо перевірка проводиться в межах вже розпочатої справи» (стаття 41-1). Вважаємо, що така копія може бути додатком до розпорядження про проведення перевірки. </w:t>
      </w:r>
    </w:p>
    <w:p w:rsidR="00DF6623" w:rsidRPr="00DF6623" w:rsidRDefault="00DF6623" w:rsidP="00DF6623">
      <w:pPr>
        <w:ind w:firstLine="708"/>
        <w:jc w:val="both"/>
        <w:rPr>
          <w:rFonts w:ascii="Times New Roman" w:eastAsia="TimesNewRomanPSMT" w:hAnsi="Times New Roman"/>
          <w:sz w:val="28"/>
          <w:szCs w:val="28"/>
        </w:rPr>
      </w:pPr>
      <w:r w:rsidRPr="00DF6623">
        <w:rPr>
          <w:rFonts w:ascii="Times New Roman" w:eastAsia="Calibri" w:hAnsi="Times New Roman"/>
          <w:sz w:val="28"/>
          <w:szCs w:val="28"/>
        </w:rPr>
        <w:t>Звертаємо увагу, що деякі положення цього проекту (йдеться про виключення частини п’ятої статті 56) дублюються в проекті закону № 67</w:t>
      </w:r>
      <w:r w:rsidR="00B342E2">
        <w:rPr>
          <w:rFonts w:ascii="Times New Roman" w:eastAsia="Calibri" w:hAnsi="Times New Roman"/>
          <w:sz w:val="28"/>
          <w:szCs w:val="28"/>
        </w:rPr>
        <w:t>23</w:t>
      </w:r>
      <w:r w:rsidRPr="00DF6623">
        <w:rPr>
          <w:rFonts w:ascii="Times New Roman" w:eastAsia="Calibri" w:hAnsi="Times New Roman"/>
          <w:sz w:val="28"/>
          <w:szCs w:val="28"/>
        </w:rPr>
        <w:t xml:space="preserve">, яким також вносяться зміни до Закону України «Про захист економічної конкуренції».  </w:t>
      </w:r>
    </w:p>
    <w:p w:rsidR="00E474BA" w:rsidRDefault="00E474BA" w:rsidP="00E474BA">
      <w:pPr>
        <w:jc w:val="both"/>
      </w:pPr>
    </w:p>
    <w:p w:rsidR="009E5F9E" w:rsidRDefault="009E5F9E" w:rsidP="00E474BA">
      <w:pPr>
        <w:jc w:val="both"/>
      </w:pPr>
    </w:p>
    <w:p w:rsidR="00B91472" w:rsidRPr="00C83982" w:rsidRDefault="00B91472" w:rsidP="00B91472">
      <w:pPr>
        <w:pStyle w:val="a3"/>
        <w:ind w:firstLine="567"/>
        <w:jc w:val="both"/>
        <w:rPr>
          <w:rFonts w:eastAsia="Times New Roman"/>
          <w:b/>
          <w:bCs/>
          <w:szCs w:val="28"/>
          <w:lang w:val="uk-UA" w:eastAsia="ru-RU"/>
        </w:rPr>
      </w:pPr>
      <w:r w:rsidRPr="00C83982">
        <w:rPr>
          <w:rFonts w:eastAsia="Times New Roman"/>
          <w:b/>
          <w:bCs/>
          <w:szCs w:val="28"/>
          <w:lang w:val="uk-UA" w:eastAsia="ru-RU"/>
        </w:rPr>
        <w:t>Заступник Керівника</w:t>
      </w:r>
    </w:p>
    <w:p w:rsidR="00B91472" w:rsidRPr="00C83982" w:rsidRDefault="00B91472" w:rsidP="00B91472">
      <w:pPr>
        <w:pStyle w:val="a3"/>
        <w:ind w:firstLine="567"/>
        <w:jc w:val="both"/>
        <w:rPr>
          <w:rFonts w:eastAsia="Times New Roman"/>
          <w:szCs w:val="28"/>
          <w:lang w:val="uk-UA" w:eastAsia="ru-RU"/>
        </w:rPr>
      </w:pPr>
      <w:r w:rsidRPr="00C83982">
        <w:rPr>
          <w:rFonts w:eastAsia="Times New Roman"/>
          <w:b/>
          <w:bCs/>
          <w:szCs w:val="28"/>
          <w:lang w:val="uk-UA" w:eastAsia="ru-RU"/>
        </w:rPr>
        <w:t xml:space="preserve">Головного управління </w:t>
      </w:r>
      <w:r w:rsidRPr="00C83982">
        <w:rPr>
          <w:rFonts w:eastAsia="Times New Roman"/>
          <w:b/>
          <w:bCs/>
          <w:szCs w:val="28"/>
          <w:lang w:val="uk-UA" w:eastAsia="ru-RU"/>
        </w:rPr>
        <w:tab/>
      </w:r>
      <w:r w:rsidRPr="00C83982">
        <w:rPr>
          <w:rFonts w:eastAsia="Times New Roman"/>
          <w:b/>
          <w:bCs/>
          <w:szCs w:val="28"/>
          <w:lang w:val="uk-UA" w:eastAsia="ru-RU"/>
        </w:rPr>
        <w:tab/>
      </w:r>
      <w:r w:rsidRPr="00C83982">
        <w:rPr>
          <w:rFonts w:eastAsia="Times New Roman"/>
          <w:b/>
          <w:bCs/>
          <w:szCs w:val="28"/>
          <w:lang w:val="uk-UA" w:eastAsia="ru-RU"/>
        </w:rPr>
        <w:tab/>
      </w:r>
      <w:r w:rsidRPr="00C83982">
        <w:rPr>
          <w:rFonts w:eastAsia="Times New Roman"/>
          <w:b/>
          <w:bCs/>
          <w:szCs w:val="28"/>
          <w:lang w:val="uk-UA" w:eastAsia="ru-RU"/>
        </w:rPr>
        <w:tab/>
      </w:r>
      <w:r w:rsidRPr="00C83982">
        <w:rPr>
          <w:rFonts w:eastAsia="Times New Roman"/>
          <w:b/>
          <w:bCs/>
          <w:szCs w:val="28"/>
          <w:lang w:val="uk-UA" w:eastAsia="ru-RU"/>
        </w:rPr>
        <w:tab/>
        <w:t xml:space="preserve">                В.МІЛОВАНОВ</w:t>
      </w:r>
    </w:p>
    <w:p w:rsidR="00B60FCA" w:rsidRPr="00B91472" w:rsidRDefault="00B60FCA">
      <w:pPr>
        <w:rPr>
          <w:rFonts w:ascii="Times New Roman" w:hAnsi="Times New Roman"/>
          <w:sz w:val="28"/>
          <w:szCs w:val="28"/>
        </w:rPr>
      </w:pPr>
    </w:p>
    <w:sectPr w:rsidR="00B60FCA" w:rsidRPr="00B91472" w:rsidSect="003218F5">
      <w:footerReference w:type="default" r:id="rId7"/>
      <w:pgSz w:w="11906" w:h="16838"/>
      <w:pgMar w:top="850" w:right="850" w:bottom="850"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5486" w:rsidRDefault="00155486" w:rsidP="003218F5">
      <w:r>
        <w:separator/>
      </w:r>
    </w:p>
  </w:endnote>
  <w:endnote w:type="continuationSeparator" w:id="0">
    <w:p w:rsidR="00155486" w:rsidRDefault="00155486" w:rsidP="00321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203" w:usb1="08070000" w:usb2="00000010" w:usb3="00000000" w:csb0="00020005"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4865082"/>
      <w:docPartObj>
        <w:docPartGallery w:val="Page Numbers (Bottom of Page)"/>
        <w:docPartUnique/>
      </w:docPartObj>
    </w:sdtPr>
    <w:sdtEndPr/>
    <w:sdtContent>
      <w:p w:rsidR="003218F5" w:rsidRDefault="003218F5">
        <w:pPr>
          <w:pStyle w:val="a6"/>
          <w:jc w:val="center"/>
        </w:pPr>
        <w:r>
          <w:fldChar w:fldCharType="begin"/>
        </w:r>
        <w:r>
          <w:instrText>PAGE   \* MERGEFORMAT</w:instrText>
        </w:r>
        <w:r>
          <w:fldChar w:fldCharType="separate"/>
        </w:r>
        <w:r w:rsidR="008F46CF" w:rsidRPr="008F46CF">
          <w:rPr>
            <w:noProof/>
            <w:lang w:val="ru-RU"/>
          </w:rPr>
          <w:t>5</w:t>
        </w:r>
        <w:r>
          <w:fldChar w:fldCharType="end"/>
        </w:r>
      </w:p>
    </w:sdtContent>
  </w:sdt>
  <w:p w:rsidR="003218F5" w:rsidRDefault="003218F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486" w:rsidRDefault="00155486" w:rsidP="003218F5">
      <w:r>
        <w:separator/>
      </w:r>
    </w:p>
  </w:footnote>
  <w:footnote w:type="continuationSeparator" w:id="0">
    <w:p w:rsidR="00155486" w:rsidRDefault="00155486" w:rsidP="003218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E0E05"/>
    <w:multiLevelType w:val="hybridMultilevel"/>
    <w:tmpl w:val="C8BA3612"/>
    <w:lvl w:ilvl="0" w:tplc="A340456C">
      <w:start w:val="1"/>
      <w:numFmt w:val="bullet"/>
      <w:lvlText w:val="-"/>
      <w:lvlJc w:val="left"/>
      <w:pPr>
        <w:ind w:left="1065" w:hanging="360"/>
      </w:pPr>
      <w:rPr>
        <w:rFonts w:ascii="Times New Roman" w:eastAsia="Calibri" w:hAnsi="Times New Roman" w:cs="Times New Roman" w:hint="default"/>
      </w:rPr>
    </w:lvl>
    <w:lvl w:ilvl="1" w:tplc="04220003" w:tentative="1">
      <w:start w:val="1"/>
      <w:numFmt w:val="bullet"/>
      <w:lvlText w:val="o"/>
      <w:lvlJc w:val="left"/>
      <w:pPr>
        <w:ind w:left="1785" w:hanging="360"/>
      </w:pPr>
      <w:rPr>
        <w:rFonts w:ascii="Courier New" w:hAnsi="Courier New" w:cs="Courier New" w:hint="default"/>
      </w:rPr>
    </w:lvl>
    <w:lvl w:ilvl="2" w:tplc="04220005" w:tentative="1">
      <w:start w:val="1"/>
      <w:numFmt w:val="bullet"/>
      <w:lvlText w:val=""/>
      <w:lvlJc w:val="left"/>
      <w:pPr>
        <w:ind w:left="2505" w:hanging="360"/>
      </w:pPr>
      <w:rPr>
        <w:rFonts w:ascii="Wingdings" w:hAnsi="Wingdings" w:hint="default"/>
      </w:rPr>
    </w:lvl>
    <w:lvl w:ilvl="3" w:tplc="04220001" w:tentative="1">
      <w:start w:val="1"/>
      <w:numFmt w:val="bullet"/>
      <w:lvlText w:val=""/>
      <w:lvlJc w:val="left"/>
      <w:pPr>
        <w:ind w:left="3225" w:hanging="360"/>
      </w:pPr>
      <w:rPr>
        <w:rFonts w:ascii="Symbol" w:hAnsi="Symbol" w:hint="default"/>
      </w:rPr>
    </w:lvl>
    <w:lvl w:ilvl="4" w:tplc="04220003" w:tentative="1">
      <w:start w:val="1"/>
      <w:numFmt w:val="bullet"/>
      <w:lvlText w:val="o"/>
      <w:lvlJc w:val="left"/>
      <w:pPr>
        <w:ind w:left="3945" w:hanging="360"/>
      </w:pPr>
      <w:rPr>
        <w:rFonts w:ascii="Courier New" w:hAnsi="Courier New" w:cs="Courier New" w:hint="default"/>
      </w:rPr>
    </w:lvl>
    <w:lvl w:ilvl="5" w:tplc="04220005" w:tentative="1">
      <w:start w:val="1"/>
      <w:numFmt w:val="bullet"/>
      <w:lvlText w:val=""/>
      <w:lvlJc w:val="left"/>
      <w:pPr>
        <w:ind w:left="4665" w:hanging="360"/>
      </w:pPr>
      <w:rPr>
        <w:rFonts w:ascii="Wingdings" w:hAnsi="Wingdings" w:hint="default"/>
      </w:rPr>
    </w:lvl>
    <w:lvl w:ilvl="6" w:tplc="04220001" w:tentative="1">
      <w:start w:val="1"/>
      <w:numFmt w:val="bullet"/>
      <w:lvlText w:val=""/>
      <w:lvlJc w:val="left"/>
      <w:pPr>
        <w:ind w:left="5385" w:hanging="360"/>
      </w:pPr>
      <w:rPr>
        <w:rFonts w:ascii="Symbol" w:hAnsi="Symbol" w:hint="default"/>
      </w:rPr>
    </w:lvl>
    <w:lvl w:ilvl="7" w:tplc="04220003" w:tentative="1">
      <w:start w:val="1"/>
      <w:numFmt w:val="bullet"/>
      <w:lvlText w:val="o"/>
      <w:lvlJc w:val="left"/>
      <w:pPr>
        <w:ind w:left="6105" w:hanging="360"/>
      </w:pPr>
      <w:rPr>
        <w:rFonts w:ascii="Courier New" w:hAnsi="Courier New" w:cs="Courier New" w:hint="default"/>
      </w:rPr>
    </w:lvl>
    <w:lvl w:ilvl="8" w:tplc="04220005" w:tentative="1">
      <w:start w:val="1"/>
      <w:numFmt w:val="bullet"/>
      <w:lvlText w:val=""/>
      <w:lvlJc w:val="left"/>
      <w:pPr>
        <w:ind w:left="6825" w:hanging="360"/>
      </w:pPr>
      <w:rPr>
        <w:rFonts w:ascii="Wingdings" w:hAnsi="Wingdings" w:hint="default"/>
      </w:rPr>
    </w:lvl>
  </w:abstractNum>
  <w:abstractNum w:abstractNumId="1" w15:restartNumberingAfterBreak="0">
    <w:nsid w:val="4F204583"/>
    <w:multiLevelType w:val="hybridMultilevel"/>
    <w:tmpl w:val="430A6928"/>
    <w:lvl w:ilvl="0" w:tplc="F59AC1EE">
      <w:start w:val="1"/>
      <w:numFmt w:val="bullet"/>
      <w:lvlText w:val="-"/>
      <w:lvlJc w:val="left"/>
      <w:pPr>
        <w:ind w:left="927" w:hanging="360"/>
      </w:pPr>
      <w:rPr>
        <w:rFonts w:ascii="Times New Roman CYR" w:eastAsia="Times New Roman" w:hAnsi="Times New Roman CYR" w:cs="Times New Roman CYR"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4BA"/>
    <w:rsid w:val="00036A01"/>
    <w:rsid w:val="00060361"/>
    <w:rsid w:val="00076EB1"/>
    <w:rsid w:val="00086CC4"/>
    <w:rsid w:val="000F519F"/>
    <w:rsid w:val="00155486"/>
    <w:rsid w:val="00160FC0"/>
    <w:rsid w:val="001B3A75"/>
    <w:rsid w:val="001C026A"/>
    <w:rsid w:val="00204B09"/>
    <w:rsid w:val="002078E2"/>
    <w:rsid w:val="0022274C"/>
    <w:rsid w:val="00252AD5"/>
    <w:rsid w:val="00280ED1"/>
    <w:rsid w:val="00286080"/>
    <w:rsid w:val="002D1F8E"/>
    <w:rsid w:val="002E39B2"/>
    <w:rsid w:val="002F6428"/>
    <w:rsid w:val="003218F5"/>
    <w:rsid w:val="0039167F"/>
    <w:rsid w:val="00392ADC"/>
    <w:rsid w:val="004931F9"/>
    <w:rsid w:val="004A0ACE"/>
    <w:rsid w:val="004D302D"/>
    <w:rsid w:val="004E39E2"/>
    <w:rsid w:val="004E3BE5"/>
    <w:rsid w:val="004E600D"/>
    <w:rsid w:val="005635D6"/>
    <w:rsid w:val="005975CF"/>
    <w:rsid w:val="005B269A"/>
    <w:rsid w:val="005D5B37"/>
    <w:rsid w:val="0060068E"/>
    <w:rsid w:val="00600E1B"/>
    <w:rsid w:val="00603699"/>
    <w:rsid w:val="006B0FBB"/>
    <w:rsid w:val="006C0CFC"/>
    <w:rsid w:val="006E159C"/>
    <w:rsid w:val="006F0C54"/>
    <w:rsid w:val="0070584F"/>
    <w:rsid w:val="00737D31"/>
    <w:rsid w:val="007C5D4F"/>
    <w:rsid w:val="007D4114"/>
    <w:rsid w:val="00815AB8"/>
    <w:rsid w:val="00846EA2"/>
    <w:rsid w:val="008F46CF"/>
    <w:rsid w:val="009269D3"/>
    <w:rsid w:val="00960F59"/>
    <w:rsid w:val="009826AE"/>
    <w:rsid w:val="00991BC8"/>
    <w:rsid w:val="009D5FD5"/>
    <w:rsid w:val="009E5F9E"/>
    <w:rsid w:val="009F7D8C"/>
    <w:rsid w:val="00A83FAD"/>
    <w:rsid w:val="00A92509"/>
    <w:rsid w:val="00AB723D"/>
    <w:rsid w:val="00AC66FA"/>
    <w:rsid w:val="00B21A40"/>
    <w:rsid w:val="00B342E2"/>
    <w:rsid w:val="00B45E86"/>
    <w:rsid w:val="00B60FCA"/>
    <w:rsid w:val="00B60FEA"/>
    <w:rsid w:val="00B67E07"/>
    <w:rsid w:val="00B91472"/>
    <w:rsid w:val="00C807FD"/>
    <w:rsid w:val="00CE236E"/>
    <w:rsid w:val="00CE3F27"/>
    <w:rsid w:val="00CF4870"/>
    <w:rsid w:val="00CF6E70"/>
    <w:rsid w:val="00D12D23"/>
    <w:rsid w:val="00D373B5"/>
    <w:rsid w:val="00DE0776"/>
    <w:rsid w:val="00DF6623"/>
    <w:rsid w:val="00E316DC"/>
    <w:rsid w:val="00E474BA"/>
    <w:rsid w:val="00E86F76"/>
    <w:rsid w:val="00F233C3"/>
    <w:rsid w:val="00F34D22"/>
    <w:rsid w:val="00F41AA6"/>
    <w:rsid w:val="00F46BE0"/>
    <w:rsid w:val="00F616A5"/>
    <w:rsid w:val="00FE1F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7737A"/>
  <w15:chartTrackingRefBased/>
  <w15:docId w15:val="{690CA732-69D9-443C-A90A-6095B354E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74BA"/>
    <w:pPr>
      <w:spacing w:after="0"/>
      <w:jc w:val="left"/>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E474BA"/>
    <w:pPr>
      <w:spacing w:after="0"/>
      <w:jc w:val="left"/>
    </w:pPr>
    <w:rPr>
      <w:rFonts w:eastAsia="Calibri" w:cs="Times New Roman"/>
      <w:lang w:val="ru-RU"/>
    </w:rPr>
  </w:style>
  <w:style w:type="character" w:customStyle="1" w:styleId="st42">
    <w:name w:val="st42"/>
    <w:uiPriority w:val="99"/>
    <w:rsid w:val="00F616A5"/>
    <w:rPr>
      <w:rFonts w:ascii="Times New Roman" w:hAnsi="Times New Roman" w:cs="Times New Roman"/>
      <w:color w:val="000000"/>
    </w:rPr>
  </w:style>
  <w:style w:type="paragraph" w:styleId="a4">
    <w:name w:val="header"/>
    <w:basedOn w:val="a"/>
    <w:link w:val="a5"/>
    <w:uiPriority w:val="99"/>
    <w:unhideWhenUsed/>
    <w:rsid w:val="003218F5"/>
    <w:pPr>
      <w:tabs>
        <w:tab w:val="center" w:pos="4677"/>
        <w:tab w:val="right" w:pos="9355"/>
      </w:tabs>
    </w:pPr>
  </w:style>
  <w:style w:type="character" w:customStyle="1" w:styleId="a5">
    <w:name w:val="Верхній колонтитул Знак"/>
    <w:basedOn w:val="a0"/>
    <w:link w:val="a4"/>
    <w:uiPriority w:val="99"/>
    <w:rsid w:val="003218F5"/>
    <w:rPr>
      <w:rFonts w:ascii="Arial" w:eastAsia="Times New Roman" w:hAnsi="Arial" w:cs="Times New Roman"/>
      <w:sz w:val="24"/>
      <w:szCs w:val="24"/>
      <w:lang w:eastAsia="ru-RU"/>
    </w:rPr>
  </w:style>
  <w:style w:type="paragraph" w:styleId="a6">
    <w:name w:val="footer"/>
    <w:basedOn w:val="a"/>
    <w:link w:val="a7"/>
    <w:uiPriority w:val="99"/>
    <w:unhideWhenUsed/>
    <w:rsid w:val="003218F5"/>
    <w:pPr>
      <w:tabs>
        <w:tab w:val="center" w:pos="4677"/>
        <w:tab w:val="right" w:pos="9355"/>
      </w:tabs>
    </w:pPr>
  </w:style>
  <w:style w:type="character" w:customStyle="1" w:styleId="a7">
    <w:name w:val="Нижній колонтитул Знак"/>
    <w:basedOn w:val="a0"/>
    <w:link w:val="a6"/>
    <w:uiPriority w:val="99"/>
    <w:rsid w:val="003218F5"/>
    <w:rPr>
      <w:rFonts w:ascii="Arial" w:eastAsia="Times New Roman" w:hAnsi="Arial" w:cs="Times New Roman"/>
      <w:sz w:val="24"/>
      <w:szCs w:val="24"/>
      <w:lang w:eastAsia="ru-RU"/>
    </w:rPr>
  </w:style>
  <w:style w:type="paragraph" w:styleId="a8">
    <w:name w:val="Balloon Text"/>
    <w:basedOn w:val="a"/>
    <w:link w:val="a9"/>
    <w:uiPriority w:val="99"/>
    <w:semiHidden/>
    <w:unhideWhenUsed/>
    <w:rsid w:val="002E39B2"/>
    <w:rPr>
      <w:rFonts w:ascii="Segoe UI" w:hAnsi="Segoe UI" w:cs="Segoe UI"/>
      <w:sz w:val="18"/>
      <w:szCs w:val="18"/>
    </w:rPr>
  </w:style>
  <w:style w:type="character" w:customStyle="1" w:styleId="a9">
    <w:name w:val="Текст у виносці Знак"/>
    <w:basedOn w:val="a0"/>
    <w:link w:val="a8"/>
    <w:uiPriority w:val="99"/>
    <w:semiHidden/>
    <w:rsid w:val="002E39B2"/>
    <w:rPr>
      <w:rFonts w:ascii="Segoe UI" w:eastAsia="Times New Roman" w:hAnsi="Segoe UI" w:cs="Segoe UI"/>
      <w:sz w:val="18"/>
      <w:szCs w:val="18"/>
      <w:lang w:eastAsia="ru-RU"/>
    </w:rPr>
  </w:style>
  <w:style w:type="character" w:customStyle="1" w:styleId="st96">
    <w:name w:val="st96"/>
    <w:uiPriority w:val="99"/>
    <w:rsid w:val="0070584F"/>
    <w:rPr>
      <w:rFonts w:ascii="Times New Roman" w:hAnsi="Times New Roman" w:cs="Times New Roman"/>
      <w:color w:val="0000FF"/>
    </w:rPr>
  </w:style>
  <w:style w:type="paragraph" w:styleId="aa">
    <w:name w:val="List Paragraph"/>
    <w:basedOn w:val="a"/>
    <w:uiPriority w:val="34"/>
    <w:qFormat/>
    <w:rsid w:val="008F46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022381">
      <w:bodyDiv w:val="1"/>
      <w:marLeft w:val="0"/>
      <w:marRight w:val="0"/>
      <w:marTop w:val="0"/>
      <w:marBottom w:val="0"/>
      <w:divBdr>
        <w:top w:val="none" w:sz="0" w:space="0" w:color="auto"/>
        <w:left w:val="none" w:sz="0" w:space="0" w:color="auto"/>
        <w:bottom w:val="none" w:sz="0" w:space="0" w:color="auto"/>
        <w:right w:val="none" w:sz="0" w:space="0" w:color="auto"/>
      </w:divBdr>
    </w:div>
    <w:div w:id="204525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8371</Words>
  <Characters>4772</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Кармаза Олександра Олександрівна</dc:creator>
  <cp:keywords/>
  <dc:description/>
  <cp:lastModifiedBy>Кармаза Олександра Олександрівна</cp:lastModifiedBy>
  <cp:revision>2</cp:revision>
  <cp:lastPrinted>2018-04-16T08:41:00Z</cp:lastPrinted>
  <dcterms:created xsi:type="dcterms:W3CDTF">2018-04-16T11:05:00Z</dcterms:created>
  <dcterms:modified xsi:type="dcterms:W3CDTF">2018-04-16T11:05:00Z</dcterms:modified>
</cp:coreProperties>
</file>