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874" w:rsidRPr="00F96407" w:rsidRDefault="00DB2874" w:rsidP="00DB2874">
      <w:pPr>
        <w:ind w:firstLine="567"/>
        <w:jc w:val="center"/>
        <w:rPr>
          <w:b/>
          <w:sz w:val="28"/>
          <w:szCs w:val="28"/>
        </w:rPr>
      </w:pPr>
      <w:r w:rsidRPr="00F96407">
        <w:rPr>
          <w:b/>
          <w:sz w:val="28"/>
          <w:szCs w:val="28"/>
        </w:rPr>
        <w:t>ВИСНОВОК</w:t>
      </w:r>
    </w:p>
    <w:p w:rsidR="00DB2874" w:rsidRPr="00F96407" w:rsidRDefault="00DB2874" w:rsidP="00DB2874">
      <w:pPr>
        <w:ind w:firstLine="567"/>
        <w:jc w:val="center"/>
        <w:rPr>
          <w:b/>
          <w:sz w:val="28"/>
          <w:szCs w:val="28"/>
        </w:rPr>
      </w:pPr>
      <w:r w:rsidRPr="00F96407">
        <w:rPr>
          <w:b/>
          <w:sz w:val="28"/>
          <w:szCs w:val="28"/>
        </w:rPr>
        <w:t>Комітету Верховної Ради України з питань європейської інтеграції</w:t>
      </w:r>
    </w:p>
    <w:p w:rsidR="00DB2874" w:rsidRDefault="00DB2874" w:rsidP="00DB2874">
      <w:pPr>
        <w:ind w:firstLine="567"/>
        <w:jc w:val="center"/>
        <w:rPr>
          <w:b/>
          <w:sz w:val="28"/>
          <w:szCs w:val="28"/>
        </w:rPr>
      </w:pPr>
      <w:r w:rsidRPr="00F96407">
        <w:rPr>
          <w:b/>
          <w:sz w:val="28"/>
          <w:szCs w:val="28"/>
        </w:rPr>
        <w:t xml:space="preserve">щодо проекту Закону України </w:t>
      </w:r>
    </w:p>
    <w:p w:rsidR="00DB2874" w:rsidRDefault="00DB2874" w:rsidP="00DB2874">
      <w:pPr>
        <w:ind w:firstLine="567"/>
        <w:jc w:val="center"/>
        <w:rPr>
          <w:b/>
          <w:sz w:val="28"/>
          <w:szCs w:val="28"/>
        </w:rPr>
      </w:pPr>
      <w:r w:rsidRPr="00DB2874">
        <w:rPr>
          <w:b/>
          <w:sz w:val="28"/>
          <w:szCs w:val="28"/>
        </w:rPr>
        <w:t xml:space="preserve">«Про внесення змін до деяких законів України </w:t>
      </w:r>
    </w:p>
    <w:p w:rsidR="00DB2874" w:rsidRPr="00DB2874" w:rsidRDefault="00DB2874" w:rsidP="00DB2874">
      <w:pPr>
        <w:ind w:firstLine="567"/>
        <w:jc w:val="center"/>
        <w:rPr>
          <w:b/>
          <w:sz w:val="28"/>
          <w:szCs w:val="28"/>
        </w:rPr>
      </w:pPr>
      <w:r w:rsidRPr="00DB2874">
        <w:rPr>
          <w:b/>
          <w:sz w:val="28"/>
          <w:szCs w:val="28"/>
        </w:rPr>
        <w:t>(щодо запобігання мобінгу)»</w:t>
      </w:r>
    </w:p>
    <w:p w:rsidR="00DB2874" w:rsidRPr="00F96407" w:rsidRDefault="00DB2874" w:rsidP="00DB2874">
      <w:pPr>
        <w:ind w:firstLine="567"/>
        <w:jc w:val="center"/>
        <w:rPr>
          <w:b/>
          <w:sz w:val="28"/>
          <w:szCs w:val="28"/>
        </w:rPr>
      </w:pPr>
      <w:r w:rsidRPr="00F96407">
        <w:rPr>
          <w:b/>
          <w:sz w:val="28"/>
          <w:szCs w:val="28"/>
        </w:rPr>
        <w:t xml:space="preserve">(реєстр. № </w:t>
      </w:r>
      <w:r>
        <w:rPr>
          <w:b/>
          <w:sz w:val="28"/>
          <w:szCs w:val="28"/>
        </w:rPr>
        <w:t>7005</w:t>
      </w:r>
      <w:r w:rsidRPr="00C608A2">
        <w:rPr>
          <w:b/>
          <w:sz w:val="28"/>
          <w:szCs w:val="28"/>
        </w:rPr>
        <w:t xml:space="preserve"> </w:t>
      </w:r>
      <w:r w:rsidRPr="00F96407">
        <w:rPr>
          <w:b/>
          <w:sz w:val="28"/>
          <w:szCs w:val="28"/>
        </w:rPr>
        <w:t xml:space="preserve">від </w:t>
      </w:r>
      <w:r>
        <w:rPr>
          <w:b/>
          <w:sz w:val="28"/>
          <w:szCs w:val="28"/>
        </w:rPr>
        <w:t>25</w:t>
      </w:r>
      <w:r w:rsidRPr="00F96407">
        <w:rPr>
          <w:b/>
          <w:sz w:val="28"/>
          <w:szCs w:val="28"/>
        </w:rPr>
        <w:t>.</w:t>
      </w:r>
      <w:r>
        <w:rPr>
          <w:b/>
          <w:sz w:val="28"/>
          <w:szCs w:val="28"/>
        </w:rPr>
        <w:t>07</w:t>
      </w:r>
      <w:r w:rsidRPr="00F96407">
        <w:rPr>
          <w:b/>
          <w:sz w:val="28"/>
          <w:szCs w:val="28"/>
        </w:rPr>
        <w:t>.201</w:t>
      </w:r>
      <w:r>
        <w:rPr>
          <w:b/>
          <w:sz w:val="28"/>
          <w:szCs w:val="28"/>
        </w:rPr>
        <w:t>7</w:t>
      </w:r>
      <w:r w:rsidRPr="00F96407">
        <w:rPr>
          <w:b/>
          <w:sz w:val="28"/>
          <w:szCs w:val="28"/>
        </w:rPr>
        <w:t xml:space="preserve"> р., </w:t>
      </w:r>
      <w:r>
        <w:rPr>
          <w:b/>
          <w:sz w:val="28"/>
          <w:szCs w:val="28"/>
        </w:rPr>
        <w:t>н.д. Д. Лінько, А. Лозовой</w:t>
      </w:r>
      <w:r w:rsidRPr="00F96407">
        <w:rPr>
          <w:b/>
          <w:sz w:val="28"/>
          <w:szCs w:val="28"/>
        </w:rPr>
        <w:t>)</w:t>
      </w:r>
    </w:p>
    <w:p w:rsidR="00DB2874" w:rsidRPr="00F96407" w:rsidRDefault="00DB2874" w:rsidP="00DB2874">
      <w:pPr>
        <w:ind w:firstLine="567"/>
        <w:jc w:val="center"/>
        <w:rPr>
          <w:b/>
          <w:sz w:val="28"/>
          <w:szCs w:val="28"/>
        </w:rPr>
      </w:pPr>
      <w:r w:rsidRPr="00F96407">
        <w:rPr>
          <w:b/>
          <w:sz w:val="28"/>
          <w:szCs w:val="28"/>
        </w:rPr>
        <w:t xml:space="preserve"> </w:t>
      </w:r>
    </w:p>
    <w:p w:rsidR="00DB2874" w:rsidRPr="00F96407" w:rsidRDefault="00DB2874" w:rsidP="00DB2874">
      <w:pPr>
        <w:numPr>
          <w:ilvl w:val="0"/>
          <w:numId w:val="1"/>
        </w:numPr>
        <w:autoSpaceDE/>
        <w:autoSpaceDN/>
        <w:jc w:val="both"/>
        <w:rPr>
          <w:b/>
          <w:bCs/>
          <w:sz w:val="28"/>
          <w:szCs w:val="28"/>
        </w:rPr>
      </w:pPr>
      <w:r w:rsidRPr="00F96407">
        <w:rPr>
          <w:b/>
          <w:bCs/>
          <w:sz w:val="28"/>
          <w:szCs w:val="28"/>
        </w:rPr>
        <w:t>Загальна характеристика законопроекту.</w:t>
      </w:r>
    </w:p>
    <w:p w:rsidR="00DB2874" w:rsidRPr="007C31F9" w:rsidRDefault="00DB2874" w:rsidP="00DB2874">
      <w:pPr>
        <w:pStyle w:val="1"/>
        <w:spacing w:before="120" w:after="120" w:line="240" w:lineRule="auto"/>
        <w:ind w:left="0" w:firstLine="567"/>
        <w:jc w:val="both"/>
        <w:rPr>
          <w:rFonts w:ascii="Times New Roman" w:eastAsia="Times New Roman" w:hAnsi="Times New Roman"/>
          <w:color w:val="FF0000"/>
          <w:sz w:val="28"/>
          <w:szCs w:val="28"/>
          <w:lang w:val="uk-UA" w:eastAsia="ru-RU"/>
        </w:rPr>
      </w:pPr>
      <w:r w:rsidRPr="00974E25">
        <w:rPr>
          <w:rFonts w:ascii="Times New Roman" w:eastAsia="Times New Roman" w:hAnsi="Times New Roman"/>
          <w:sz w:val="28"/>
          <w:szCs w:val="28"/>
          <w:lang w:val="uk-UA" w:eastAsia="ru-RU"/>
        </w:rPr>
        <w:t>Проект Закону</w:t>
      </w:r>
      <w:r>
        <w:rPr>
          <w:rFonts w:ascii="Times New Roman" w:eastAsia="Times New Roman" w:hAnsi="Times New Roman"/>
          <w:sz w:val="28"/>
          <w:szCs w:val="28"/>
          <w:lang w:val="uk-UA" w:eastAsia="ru-RU"/>
        </w:rPr>
        <w:t>, згідно з пояснювальною запискою, розроблено з метою врегулювання на законодавчому рівні поняття мобінгу, забезпечення прав та гарантій для працівників, які постраждали від проявів мобінгу на робочому місці. Для цього законопроектом пропонується внести зміни до низки статей Кодексу законів про працю України, статті 172 Кримінального кодексу України, а також статті 5 Закону України «Про зайнятість населення».</w:t>
      </w:r>
    </w:p>
    <w:p w:rsidR="00DB2874" w:rsidRPr="00F96407" w:rsidRDefault="00DB2874" w:rsidP="00DB2874">
      <w:pPr>
        <w:pStyle w:val="1"/>
        <w:spacing w:before="120" w:after="120" w:line="240" w:lineRule="auto"/>
        <w:ind w:left="0" w:firstLine="567"/>
        <w:jc w:val="both"/>
        <w:rPr>
          <w:rFonts w:ascii="Times New Roman" w:eastAsia="Times New Roman" w:hAnsi="Times New Roman"/>
          <w:sz w:val="28"/>
          <w:szCs w:val="28"/>
          <w:lang w:val="uk-UA" w:eastAsia="ru-RU"/>
        </w:rPr>
      </w:pPr>
    </w:p>
    <w:p w:rsidR="00DB2874" w:rsidRPr="00F96407" w:rsidRDefault="00DB2874" w:rsidP="00DB2874">
      <w:pPr>
        <w:spacing w:before="60"/>
        <w:ind w:firstLine="567"/>
        <w:jc w:val="both"/>
        <w:rPr>
          <w:b/>
          <w:bCs/>
          <w:sz w:val="28"/>
          <w:szCs w:val="28"/>
        </w:rPr>
      </w:pPr>
      <w:r w:rsidRPr="00F96407">
        <w:rPr>
          <w:rFonts w:eastAsia="Verdana"/>
          <w:b/>
          <w:bCs/>
          <w:sz w:val="28"/>
          <w:szCs w:val="28"/>
        </w:rPr>
        <w:t>2.  </w:t>
      </w:r>
      <w:r w:rsidRPr="00F96407">
        <w:rPr>
          <w:b/>
          <w:bCs/>
          <w:sz w:val="28"/>
          <w:szCs w:val="28"/>
        </w:rPr>
        <w:t>Належність законопроекту за предметом правового регулювання до сфери дії права Європейського Союзу.</w:t>
      </w:r>
    </w:p>
    <w:p w:rsidR="00DB2874" w:rsidRPr="00E82351"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8D2F67">
        <w:rPr>
          <w:rFonts w:ascii="Times New Roman" w:eastAsia="Times New Roman" w:hAnsi="Times New Roman"/>
          <w:sz w:val="28"/>
          <w:szCs w:val="28"/>
          <w:lang w:val="uk-UA" w:eastAsia="ru-RU"/>
        </w:rPr>
        <w:t xml:space="preserve">Предмет правового регулювання законопроекту охоплюється положеннями глави 21 «Співробітництво у галузі зайнятості, соціальної політики та рівних можливостей» розділу V «Економічне та галузеве співробітництво» </w:t>
      </w:r>
      <w:r>
        <w:rPr>
          <w:rFonts w:ascii="Times New Roman" w:eastAsia="Times New Roman" w:hAnsi="Times New Roman"/>
          <w:sz w:val="28"/>
          <w:szCs w:val="28"/>
          <w:lang w:val="uk-UA" w:eastAsia="ru-RU"/>
        </w:rPr>
        <w:t xml:space="preserve">та </w:t>
      </w:r>
      <w:r w:rsidRPr="008D2F67">
        <w:rPr>
          <w:rFonts w:ascii="Times New Roman" w:eastAsia="Times New Roman" w:hAnsi="Times New Roman"/>
          <w:sz w:val="28"/>
          <w:szCs w:val="28"/>
          <w:lang w:val="uk-UA" w:eastAsia="ru-RU"/>
        </w:rPr>
        <w:t>Додатку XL</w:t>
      </w:r>
      <w:r>
        <w:rPr>
          <w:rFonts w:ascii="Times New Roman" w:eastAsia="Times New Roman" w:hAnsi="Times New Roman"/>
          <w:sz w:val="28"/>
          <w:szCs w:val="28"/>
          <w:lang w:val="uk-UA" w:eastAsia="ru-RU"/>
        </w:rPr>
        <w:t xml:space="preserve"> </w:t>
      </w:r>
      <w:r w:rsidRPr="008D2F67">
        <w:rPr>
          <w:rFonts w:ascii="Times New Roman" w:eastAsia="Times New Roman" w:hAnsi="Times New Roman"/>
          <w:sz w:val="28"/>
          <w:szCs w:val="28"/>
          <w:lang w:val="uk-UA" w:eastAsia="ru-RU"/>
        </w:rPr>
        <w:t xml:space="preserve">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E82351">
        <w:rPr>
          <w:rFonts w:ascii="Times New Roman" w:eastAsia="Times New Roman" w:hAnsi="Times New Roman"/>
          <w:color w:val="000000" w:themeColor="text1"/>
          <w:sz w:val="28"/>
          <w:szCs w:val="28"/>
          <w:lang w:val="uk-UA" w:eastAsia="ru-RU"/>
        </w:rPr>
        <w:t>іншої сторони (далі – Угода про асоціацію).</w:t>
      </w:r>
    </w:p>
    <w:p w:rsidR="00DB2874" w:rsidRDefault="00DB2874" w:rsidP="00DB2874">
      <w:pPr>
        <w:pStyle w:val="1"/>
        <w:spacing w:after="0" w:line="240" w:lineRule="auto"/>
        <w:ind w:left="0" w:firstLine="567"/>
        <w:jc w:val="both"/>
        <w:rPr>
          <w:rFonts w:ascii="Times New Roman" w:eastAsia="Times New Roman" w:hAnsi="Times New Roman"/>
          <w:sz w:val="28"/>
          <w:szCs w:val="28"/>
          <w:lang w:val="uk-UA" w:eastAsia="ru-RU"/>
        </w:rPr>
      </w:pPr>
      <w:r w:rsidRPr="008D2F67">
        <w:rPr>
          <w:rFonts w:ascii="Times New Roman" w:eastAsia="Times New Roman" w:hAnsi="Times New Roman"/>
          <w:sz w:val="28"/>
          <w:szCs w:val="28"/>
          <w:lang w:val="uk-UA" w:eastAsia="ru-RU"/>
        </w:rPr>
        <w:t>Правовідносини, які є предметом правово</w:t>
      </w:r>
      <w:r>
        <w:rPr>
          <w:rFonts w:ascii="Times New Roman" w:eastAsia="Times New Roman" w:hAnsi="Times New Roman"/>
          <w:sz w:val="28"/>
          <w:szCs w:val="28"/>
          <w:lang w:val="uk-UA" w:eastAsia="ru-RU"/>
        </w:rPr>
        <w:t>го регулювання законопроекту, регулюються:</w:t>
      </w:r>
    </w:p>
    <w:p w:rsidR="00DB2874" w:rsidRPr="008C4DC4" w:rsidRDefault="00DB2874" w:rsidP="00DB2874">
      <w:pPr>
        <w:pStyle w:val="1"/>
        <w:numPr>
          <w:ilvl w:val="0"/>
          <w:numId w:val="2"/>
        </w:numPr>
        <w:tabs>
          <w:tab w:val="left" w:pos="851"/>
        </w:tabs>
        <w:spacing w:after="0" w:line="240" w:lineRule="auto"/>
        <w:ind w:left="0" w:firstLine="567"/>
        <w:jc w:val="both"/>
        <w:rPr>
          <w:rFonts w:ascii="Times New Roman" w:eastAsia="Times New Roman" w:hAnsi="Times New Roman"/>
          <w:sz w:val="28"/>
          <w:szCs w:val="28"/>
          <w:lang w:val="uk-UA" w:eastAsia="ru-RU"/>
        </w:rPr>
      </w:pPr>
      <w:r w:rsidRPr="008C4DC4">
        <w:rPr>
          <w:rFonts w:ascii="Times New Roman" w:eastAsia="Times New Roman" w:hAnsi="Times New Roman"/>
          <w:sz w:val="28"/>
          <w:szCs w:val="28"/>
          <w:lang w:val="uk-UA" w:eastAsia="ru-RU"/>
        </w:rPr>
        <w:t xml:space="preserve">Договором про функціонування Європейського Союзу (консолідована версія) </w:t>
      </w:r>
      <w:r w:rsidRPr="00DB2874">
        <w:rPr>
          <w:rFonts w:ascii="Times New Roman" w:eastAsia="Times New Roman" w:hAnsi="Times New Roman"/>
          <w:i/>
          <w:sz w:val="28"/>
          <w:szCs w:val="28"/>
          <w:lang w:val="uk-UA" w:eastAsia="ru-RU"/>
        </w:rPr>
        <w:t>(Official Journal С 326, 26.10.2012, p. 47 – 390)</w:t>
      </w:r>
      <w:r w:rsidRPr="008C4DC4">
        <w:rPr>
          <w:rFonts w:ascii="Times New Roman" w:eastAsia="Times New Roman" w:hAnsi="Times New Roman"/>
          <w:sz w:val="28"/>
          <w:szCs w:val="28"/>
          <w:lang w:val="uk-UA" w:eastAsia="ru-RU"/>
        </w:rPr>
        <w:t xml:space="preserve"> (далі – Договір про функціонування ЄС);</w:t>
      </w:r>
    </w:p>
    <w:p w:rsidR="00DB2874" w:rsidRDefault="00DB2874" w:rsidP="00DB2874">
      <w:pPr>
        <w:pStyle w:val="1"/>
        <w:numPr>
          <w:ilvl w:val="0"/>
          <w:numId w:val="2"/>
        </w:numPr>
        <w:tabs>
          <w:tab w:val="left" w:pos="851"/>
        </w:tabs>
        <w:spacing w:after="0" w:line="240" w:lineRule="auto"/>
        <w:ind w:left="0" w:firstLine="567"/>
        <w:jc w:val="both"/>
        <w:rPr>
          <w:rFonts w:ascii="Times New Roman" w:eastAsia="Times New Roman" w:hAnsi="Times New Roman"/>
          <w:sz w:val="28"/>
          <w:szCs w:val="28"/>
          <w:lang w:val="uk-UA" w:eastAsia="ru-RU"/>
        </w:rPr>
      </w:pPr>
      <w:r w:rsidRPr="00EC2CD1">
        <w:rPr>
          <w:rFonts w:ascii="Times New Roman" w:eastAsia="Times New Roman" w:hAnsi="Times New Roman"/>
          <w:sz w:val="28"/>
          <w:szCs w:val="28"/>
          <w:lang w:val="uk-UA" w:eastAsia="ru-RU"/>
        </w:rPr>
        <w:t xml:space="preserve">Хартією основних прав Європейського Союзу </w:t>
      </w:r>
      <w:r w:rsidRPr="00DB2874">
        <w:rPr>
          <w:rFonts w:ascii="Times New Roman" w:eastAsia="Times New Roman" w:hAnsi="Times New Roman"/>
          <w:i/>
          <w:sz w:val="28"/>
          <w:szCs w:val="28"/>
          <w:lang w:val="uk-UA" w:eastAsia="ru-RU"/>
        </w:rPr>
        <w:t>(Official Journal C 326, 26.10.2012, p. 392 – 392)</w:t>
      </w:r>
      <w:r w:rsidRPr="00EC2CD1">
        <w:rPr>
          <w:rFonts w:ascii="Times New Roman" w:eastAsia="Times New Roman" w:hAnsi="Times New Roman"/>
          <w:sz w:val="28"/>
          <w:szCs w:val="28"/>
          <w:lang w:val="uk-UA" w:eastAsia="ru-RU"/>
        </w:rPr>
        <w:t xml:space="preserve"> (далі – Хартія)</w:t>
      </w:r>
      <w:r>
        <w:rPr>
          <w:rFonts w:ascii="Times New Roman" w:eastAsia="Times New Roman" w:hAnsi="Times New Roman"/>
          <w:sz w:val="28"/>
          <w:szCs w:val="28"/>
          <w:lang w:val="uk-UA" w:eastAsia="ru-RU"/>
        </w:rPr>
        <w:t>;</w:t>
      </w:r>
    </w:p>
    <w:p w:rsidR="00DB2874" w:rsidRDefault="00DB2874" w:rsidP="00DB2874">
      <w:pPr>
        <w:pStyle w:val="1"/>
        <w:numPr>
          <w:ilvl w:val="0"/>
          <w:numId w:val="2"/>
        </w:numPr>
        <w:tabs>
          <w:tab w:val="left" w:pos="851"/>
        </w:tabs>
        <w:spacing w:after="0" w:line="240" w:lineRule="auto"/>
        <w:ind w:left="0" w:firstLine="567"/>
        <w:jc w:val="both"/>
        <w:rPr>
          <w:rFonts w:ascii="Times New Roman" w:eastAsia="Times New Roman" w:hAnsi="Times New Roman"/>
          <w:sz w:val="28"/>
          <w:szCs w:val="28"/>
          <w:lang w:val="uk-UA" w:eastAsia="ru-RU"/>
        </w:rPr>
      </w:pPr>
      <w:r w:rsidRPr="00E96C95">
        <w:rPr>
          <w:rFonts w:ascii="Times New Roman" w:eastAsia="Times New Roman" w:hAnsi="Times New Roman"/>
          <w:sz w:val="28"/>
          <w:szCs w:val="28"/>
          <w:lang w:val="uk-UA" w:eastAsia="ru-RU"/>
        </w:rPr>
        <w:t xml:space="preserve">Директивою Ради 2000/78/ЄС від 27 листопада 2000 року, що встановлює загальну систему рівного ставлення у сфері зайнятості та професійної діяльності </w:t>
      </w:r>
      <w:r w:rsidRPr="00DB2874">
        <w:rPr>
          <w:rFonts w:ascii="Times New Roman" w:eastAsia="Times New Roman" w:hAnsi="Times New Roman"/>
          <w:i/>
          <w:sz w:val="28"/>
          <w:szCs w:val="28"/>
          <w:lang w:val="uk-UA" w:eastAsia="ru-RU"/>
        </w:rPr>
        <w:t>(Official Journal L 303, 02.12.2000, p. 16 – 22)</w:t>
      </w:r>
      <w:r w:rsidRPr="00E96C95">
        <w:rPr>
          <w:rFonts w:ascii="Times New Roman" w:eastAsia="Times New Roman" w:hAnsi="Times New Roman"/>
          <w:sz w:val="28"/>
          <w:szCs w:val="28"/>
          <w:lang w:val="uk-UA" w:eastAsia="ru-RU"/>
        </w:rPr>
        <w:t xml:space="preserve"> (далі – Директива Ради 2000/78/ЄС);</w:t>
      </w:r>
    </w:p>
    <w:p w:rsidR="00DB2874" w:rsidRPr="00DB2874" w:rsidRDefault="00DB2874" w:rsidP="00DB2874">
      <w:pPr>
        <w:pStyle w:val="1"/>
        <w:numPr>
          <w:ilvl w:val="0"/>
          <w:numId w:val="2"/>
        </w:numPr>
        <w:tabs>
          <w:tab w:val="left" w:pos="851"/>
        </w:tabs>
        <w:spacing w:before="120" w:after="120" w:line="240" w:lineRule="auto"/>
        <w:ind w:left="0" w:firstLine="567"/>
        <w:jc w:val="both"/>
        <w:rPr>
          <w:rFonts w:ascii="Times New Roman" w:hAnsi="Times New Roman"/>
          <w:color w:val="000000"/>
          <w:sz w:val="28"/>
          <w:szCs w:val="28"/>
          <w:lang w:val="uk-UA"/>
        </w:rPr>
      </w:pPr>
      <w:r w:rsidRPr="00DB2874">
        <w:rPr>
          <w:rFonts w:ascii="Times New Roman" w:eastAsia="Times New Roman" w:hAnsi="Times New Roman"/>
          <w:sz w:val="28"/>
          <w:szCs w:val="28"/>
          <w:lang w:val="uk-UA" w:eastAsia="ru-RU"/>
        </w:rPr>
        <w:t xml:space="preserve">Директивою Ради 2000/43/ЄС від 29 червня 2000 року про реалізацію принципу рівного відношення незалежно від расової чи етнічної належності </w:t>
      </w:r>
      <w:r w:rsidRPr="00DB2874">
        <w:rPr>
          <w:rFonts w:ascii="Times New Roman" w:eastAsia="Times New Roman" w:hAnsi="Times New Roman"/>
          <w:i/>
          <w:sz w:val="28"/>
          <w:szCs w:val="28"/>
          <w:lang w:val="uk-UA" w:eastAsia="ru-RU"/>
        </w:rPr>
        <w:t>(Official Journal L 180, 19.07.2000, С. 22 – 26)</w:t>
      </w:r>
      <w:r w:rsidRPr="00DB2874">
        <w:rPr>
          <w:rFonts w:ascii="Times New Roman" w:eastAsia="Times New Roman" w:hAnsi="Times New Roman"/>
          <w:sz w:val="28"/>
          <w:szCs w:val="28"/>
          <w:lang w:val="uk-UA" w:eastAsia="ru-RU"/>
        </w:rPr>
        <w:t xml:space="preserve"> (далі – Директива Ради 2000/43/ЄС);</w:t>
      </w:r>
    </w:p>
    <w:p w:rsidR="00DB2874" w:rsidRPr="00DB2874" w:rsidRDefault="00DB2874" w:rsidP="00DB2874">
      <w:pPr>
        <w:pStyle w:val="1"/>
        <w:numPr>
          <w:ilvl w:val="0"/>
          <w:numId w:val="2"/>
        </w:numPr>
        <w:tabs>
          <w:tab w:val="left" w:pos="851"/>
        </w:tabs>
        <w:spacing w:before="120" w:after="120" w:line="240" w:lineRule="auto"/>
        <w:ind w:left="0" w:firstLine="567"/>
        <w:jc w:val="both"/>
        <w:rPr>
          <w:rFonts w:ascii="Times New Roman" w:hAnsi="Times New Roman"/>
          <w:color w:val="000000"/>
          <w:sz w:val="28"/>
          <w:szCs w:val="28"/>
          <w:lang w:val="uk-UA"/>
        </w:rPr>
      </w:pPr>
      <w:r w:rsidRPr="00DB2874">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DB2874">
        <w:rPr>
          <w:rFonts w:ascii="Times New Roman" w:eastAsia="Times New Roman" w:hAnsi="Times New Roman"/>
          <w:sz w:val="28"/>
          <w:szCs w:val="28"/>
          <w:lang w:val="uk-UA" w:eastAsia="ru-RU"/>
        </w:rPr>
        <w:t>.</w:t>
      </w:r>
    </w:p>
    <w:p w:rsidR="00DB2874" w:rsidRDefault="00DB2874" w:rsidP="00DB2874">
      <w:pPr>
        <w:spacing w:before="240"/>
        <w:ind w:firstLine="567"/>
        <w:jc w:val="both"/>
        <w:rPr>
          <w:b/>
          <w:sz w:val="28"/>
          <w:szCs w:val="28"/>
        </w:rPr>
      </w:pPr>
      <w:r w:rsidRPr="00F96407">
        <w:rPr>
          <w:rFonts w:eastAsia="Verdana"/>
          <w:b/>
          <w:bCs/>
          <w:sz w:val="28"/>
          <w:szCs w:val="28"/>
        </w:rPr>
        <w:t>3.  </w:t>
      </w:r>
      <w:r w:rsidRPr="00F96407">
        <w:rPr>
          <w:b/>
          <w:sz w:val="28"/>
          <w:szCs w:val="28"/>
        </w:rPr>
        <w:t>Відповідність законопроекту праву ЄС.</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t>За результатами правового аналізу проекту Закону щодо його відповідності aquis ЄС, Угоді про асоціацію та зобов’язанням України в рамках Ради Європи щодо захисту прав людини, запобігання та протидії дискримінації слід зазначити таке.</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lastRenderedPageBreak/>
        <w:t xml:space="preserve">Відповідно до </w:t>
      </w:r>
      <w:r w:rsidRPr="00586E3B">
        <w:rPr>
          <w:rFonts w:ascii="Times New Roman" w:eastAsia="Times New Roman" w:hAnsi="Times New Roman"/>
          <w:i/>
          <w:color w:val="000000" w:themeColor="text1"/>
          <w:sz w:val="28"/>
          <w:szCs w:val="28"/>
          <w:lang w:val="uk-UA" w:eastAsia="ru-RU"/>
        </w:rPr>
        <w:t>статті 419 Угоди про асоціацію</w:t>
      </w:r>
      <w:r w:rsidRPr="00DB2874">
        <w:rPr>
          <w:rFonts w:ascii="Times New Roman" w:eastAsia="Times New Roman" w:hAnsi="Times New Roman"/>
          <w:color w:val="000000" w:themeColor="text1"/>
          <w:sz w:val="28"/>
          <w:szCs w:val="28"/>
          <w:lang w:val="uk-UA" w:eastAsia="ru-RU"/>
        </w:rPr>
        <w:t xml:space="preserve"> Сторони посилюють діалог та співробітництво щодо забезпечення гідної праці, політики зайнятості, безпечних та здорових умов праці, соціального діалогу, соціального захисту, соціального залучення, гендерної рівності та недискримінації. </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t xml:space="preserve">Водночас, </w:t>
      </w:r>
      <w:r w:rsidRPr="00586E3B">
        <w:rPr>
          <w:rFonts w:ascii="Times New Roman" w:eastAsia="Times New Roman" w:hAnsi="Times New Roman"/>
          <w:b/>
          <w:color w:val="000000" w:themeColor="text1"/>
          <w:sz w:val="28"/>
          <w:szCs w:val="28"/>
          <w:lang w:val="uk-UA" w:eastAsia="ru-RU"/>
        </w:rPr>
        <w:t>в праві ЄС відсутнє юридичне закріплення поняття «мобінг», натомість забороняється дискримінація будь-якого роду</w:t>
      </w:r>
      <w:r w:rsidRPr="00DB2874">
        <w:rPr>
          <w:rFonts w:ascii="Times New Roman" w:eastAsia="Times New Roman" w:hAnsi="Times New Roman"/>
          <w:color w:val="000000" w:themeColor="text1"/>
          <w:sz w:val="28"/>
          <w:szCs w:val="28"/>
          <w:lang w:val="uk-UA" w:eastAsia="ru-RU"/>
        </w:rPr>
        <w:t xml:space="preserve"> (</w:t>
      </w:r>
      <w:r w:rsidRPr="00586E3B">
        <w:rPr>
          <w:rFonts w:ascii="Times New Roman" w:eastAsia="Times New Roman" w:hAnsi="Times New Roman"/>
          <w:i/>
          <w:color w:val="000000" w:themeColor="text1"/>
          <w:sz w:val="28"/>
          <w:szCs w:val="28"/>
          <w:lang w:val="uk-UA" w:eastAsia="ru-RU"/>
        </w:rPr>
        <w:t>частина 1 статті 21 Хартії</w:t>
      </w:r>
      <w:r w:rsidRPr="00DB2874">
        <w:rPr>
          <w:rFonts w:ascii="Times New Roman" w:eastAsia="Times New Roman" w:hAnsi="Times New Roman"/>
          <w:color w:val="000000" w:themeColor="text1"/>
          <w:sz w:val="28"/>
          <w:szCs w:val="28"/>
          <w:lang w:val="uk-UA" w:eastAsia="ru-RU"/>
        </w:rPr>
        <w:t xml:space="preserve">). Відповідно до </w:t>
      </w:r>
      <w:r w:rsidRPr="00586E3B">
        <w:rPr>
          <w:rFonts w:ascii="Times New Roman" w:eastAsia="Times New Roman" w:hAnsi="Times New Roman"/>
          <w:i/>
          <w:color w:val="000000" w:themeColor="text1"/>
          <w:sz w:val="28"/>
          <w:szCs w:val="28"/>
          <w:lang w:val="uk-UA" w:eastAsia="ru-RU"/>
        </w:rPr>
        <w:t>статті 10 Договору про функціонування ЄС</w:t>
      </w:r>
      <w:r w:rsidRPr="00DB2874">
        <w:rPr>
          <w:rFonts w:ascii="Times New Roman" w:eastAsia="Times New Roman" w:hAnsi="Times New Roman"/>
          <w:color w:val="000000" w:themeColor="text1"/>
          <w:sz w:val="28"/>
          <w:szCs w:val="28"/>
          <w:lang w:val="uk-UA" w:eastAsia="ru-RU"/>
        </w:rPr>
        <w:t xml:space="preserve">, визначаючи та реалізуючи політики та дії, Союз спрямовується на боротьбу проти дискримінації на підставі статі, расового або етнічного походження, релігії або віри, недієздатності, віку або сексуальної орієнтації. Також згідно з </w:t>
      </w:r>
      <w:r w:rsidRPr="00586E3B">
        <w:rPr>
          <w:rFonts w:ascii="Times New Roman" w:eastAsia="Times New Roman" w:hAnsi="Times New Roman"/>
          <w:i/>
          <w:color w:val="000000" w:themeColor="text1"/>
          <w:sz w:val="28"/>
          <w:szCs w:val="28"/>
          <w:lang w:val="uk-UA" w:eastAsia="ru-RU"/>
        </w:rPr>
        <w:t>частиною 1 статті 31 Хартії</w:t>
      </w:r>
      <w:r w:rsidRPr="00DB2874">
        <w:rPr>
          <w:rFonts w:ascii="Times New Roman" w:eastAsia="Times New Roman" w:hAnsi="Times New Roman"/>
          <w:color w:val="000000" w:themeColor="text1"/>
          <w:sz w:val="28"/>
          <w:szCs w:val="28"/>
          <w:lang w:val="uk-UA" w:eastAsia="ru-RU"/>
        </w:rPr>
        <w:t xml:space="preserve"> кожен працівник має право на повагу своєї гідності.  </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t xml:space="preserve">Крім того, </w:t>
      </w:r>
      <w:r w:rsidRPr="00586E3B">
        <w:rPr>
          <w:rFonts w:ascii="Times New Roman" w:eastAsia="Times New Roman" w:hAnsi="Times New Roman"/>
          <w:i/>
          <w:color w:val="000000" w:themeColor="text1"/>
          <w:sz w:val="28"/>
          <w:szCs w:val="28"/>
          <w:lang w:val="uk-UA" w:eastAsia="ru-RU"/>
        </w:rPr>
        <w:t>Директивою Ради 2000/78/ЄС</w:t>
      </w:r>
      <w:r w:rsidRPr="00DB2874">
        <w:rPr>
          <w:rFonts w:ascii="Times New Roman" w:eastAsia="Times New Roman" w:hAnsi="Times New Roman"/>
          <w:color w:val="000000" w:themeColor="text1"/>
          <w:sz w:val="28"/>
          <w:szCs w:val="28"/>
          <w:lang w:val="uk-UA" w:eastAsia="ru-RU"/>
        </w:rPr>
        <w:t xml:space="preserve"> передбачено таке поняття як «утиск», який відповідно до </w:t>
      </w:r>
      <w:r w:rsidRPr="00586E3B">
        <w:rPr>
          <w:rFonts w:ascii="Times New Roman" w:eastAsia="Times New Roman" w:hAnsi="Times New Roman"/>
          <w:i/>
          <w:color w:val="000000" w:themeColor="text1"/>
          <w:sz w:val="28"/>
          <w:szCs w:val="28"/>
          <w:lang w:val="uk-UA" w:eastAsia="ru-RU"/>
        </w:rPr>
        <w:t>частини 3 статті 2</w:t>
      </w:r>
      <w:r w:rsidRPr="00DB2874">
        <w:rPr>
          <w:rFonts w:ascii="Times New Roman" w:eastAsia="Times New Roman" w:hAnsi="Times New Roman"/>
          <w:color w:val="000000" w:themeColor="text1"/>
          <w:sz w:val="28"/>
          <w:szCs w:val="28"/>
          <w:lang w:val="uk-UA" w:eastAsia="ru-RU"/>
        </w:rPr>
        <w:t xml:space="preserve"> цієї директиви вважається дискримінацією, якщо має місце небажана поведінка, ціллю або результатом якої є приниження гідності людини та створення напруженої, ворожої, зневажливої, принизливої або образливої ситуації. В такому контексті утиск може визначатися згідно з національними законами та практикою держав-членів. </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t xml:space="preserve">При цьому слід зазначити, що </w:t>
      </w:r>
      <w:r w:rsidRPr="00586E3B">
        <w:rPr>
          <w:rFonts w:ascii="Times New Roman" w:eastAsia="Times New Roman" w:hAnsi="Times New Roman"/>
          <w:b/>
          <w:color w:val="000000" w:themeColor="text1"/>
          <w:sz w:val="28"/>
          <w:szCs w:val="28"/>
          <w:lang w:val="uk-UA" w:eastAsia="ru-RU"/>
        </w:rPr>
        <w:t>в законодавстві деяких держав-членів ЄС поняття «мобінг» знайшло своє нормативне закріплення (наприклад, в Трудовому кодексі Республіки Польща (</w:t>
      </w:r>
      <w:r w:rsidRPr="00586E3B">
        <w:rPr>
          <w:rFonts w:ascii="Times New Roman" w:eastAsia="Times New Roman" w:hAnsi="Times New Roman"/>
          <w:b/>
          <w:bCs/>
          <w:color w:val="000000" w:themeColor="text1"/>
          <w:sz w:val="28"/>
          <w:szCs w:val="28"/>
          <w:lang w:val="uk-UA" w:eastAsia="ru-RU"/>
        </w:rPr>
        <w:t>стаття 943</w:t>
      </w:r>
      <w:r w:rsidRPr="00586E3B">
        <w:rPr>
          <w:rFonts w:ascii="Times New Roman" w:eastAsia="Times New Roman" w:hAnsi="Times New Roman"/>
          <w:b/>
          <w:color w:val="000000" w:themeColor="text1"/>
          <w:sz w:val="28"/>
          <w:szCs w:val="28"/>
          <w:lang w:val="uk-UA" w:eastAsia="ru-RU"/>
        </w:rPr>
        <w:t>)), а в деяких – розглядається або як прояв дискримінації, або як прояв психологічного насилля (утисків)</w:t>
      </w:r>
      <w:r w:rsidRPr="00DB2874">
        <w:rPr>
          <w:rFonts w:ascii="Times New Roman" w:eastAsia="Times New Roman" w:hAnsi="Times New Roman"/>
          <w:color w:val="000000" w:themeColor="text1"/>
          <w:sz w:val="28"/>
          <w:szCs w:val="28"/>
          <w:lang w:val="uk-UA" w:eastAsia="ru-RU"/>
        </w:rPr>
        <w:t xml:space="preserve">.  </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t xml:space="preserve">Чинний Кодекс законів про працю України також містить антидискримінаційні гарантії для працівників. Так, згідно зі </w:t>
      </w:r>
      <w:r w:rsidRPr="00586E3B">
        <w:rPr>
          <w:rFonts w:ascii="Times New Roman" w:eastAsia="Times New Roman" w:hAnsi="Times New Roman"/>
          <w:i/>
          <w:color w:val="000000" w:themeColor="text1"/>
          <w:sz w:val="28"/>
          <w:szCs w:val="28"/>
          <w:lang w:val="uk-UA" w:eastAsia="ru-RU"/>
        </w:rPr>
        <w:t>статтею 21 Кодексу законів про працю України</w:t>
      </w:r>
      <w:r w:rsidRPr="00DB2874">
        <w:rPr>
          <w:rFonts w:ascii="Times New Roman" w:eastAsia="Times New Roman" w:hAnsi="Times New Roman"/>
          <w:color w:val="000000" w:themeColor="text1"/>
          <w:sz w:val="28"/>
          <w:szCs w:val="28"/>
          <w:lang w:val="uk-UA" w:eastAsia="ru-RU"/>
        </w:rPr>
        <w:t xml:space="preserve"> 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за мовними або іншими ознаками, не пов’язаними з характером роботи або умовами її виконання.</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t xml:space="preserve">В </w:t>
      </w:r>
      <w:r w:rsidRPr="00586E3B">
        <w:rPr>
          <w:rFonts w:ascii="Times New Roman" w:eastAsia="Times New Roman" w:hAnsi="Times New Roman"/>
          <w:i/>
          <w:color w:val="000000" w:themeColor="text1"/>
          <w:sz w:val="28"/>
          <w:szCs w:val="28"/>
          <w:lang w:val="uk-UA" w:eastAsia="ru-RU"/>
        </w:rPr>
        <w:t>статті 5 Закону України «Про засади запобігання та протидії дискримінації в Україні»</w:t>
      </w:r>
      <w:r w:rsidRPr="00DB2874">
        <w:rPr>
          <w:rFonts w:ascii="Times New Roman" w:eastAsia="Times New Roman" w:hAnsi="Times New Roman"/>
          <w:color w:val="000000" w:themeColor="text1"/>
          <w:sz w:val="28"/>
          <w:szCs w:val="28"/>
          <w:lang w:val="uk-UA" w:eastAsia="ru-RU"/>
        </w:rPr>
        <w:t xml:space="preserve">, дія якого поширюється на трудові відносини, також передбачено, що однією з форм дискримінації є </w:t>
      </w:r>
      <w:r w:rsidRPr="00586E3B">
        <w:rPr>
          <w:rFonts w:ascii="Times New Roman" w:eastAsia="Times New Roman" w:hAnsi="Times New Roman"/>
          <w:b/>
          <w:color w:val="000000" w:themeColor="text1"/>
          <w:sz w:val="28"/>
          <w:szCs w:val="28"/>
          <w:u w:val="single"/>
          <w:lang w:val="uk-UA" w:eastAsia="ru-RU"/>
        </w:rPr>
        <w:t>утиск</w:t>
      </w:r>
      <w:r w:rsidRPr="00DB2874">
        <w:rPr>
          <w:rFonts w:ascii="Times New Roman" w:eastAsia="Times New Roman" w:hAnsi="Times New Roman"/>
          <w:color w:val="000000" w:themeColor="text1"/>
          <w:sz w:val="28"/>
          <w:szCs w:val="28"/>
          <w:lang w:val="uk-UA" w:eastAsia="ru-RU"/>
        </w:rPr>
        <w:t>, який визначається як небажана для особи та/або групи осіб поведінка, метою або наслідком якої є приниження їх людської гідності за певними ознаками або створення стосовно такої особи чи групи осіб напруженої, ворожої, образливої або зневажливої атмосфери (</w:t>
      </w:r>
      <w:r w:rsidRPr="00586E3B">
        <w:rPr>
          <w:rFonts w:ascii="Times New Roman" w:eastAsia="Times New Roman" w:hAnsi="Times New Roman"/>
          <w:i/>
          <w:color w:val="000000" w:themeColor="text1"/>
          <w:sz w:val="28"/>
          <w:szCs w:val="28"/>
          <w:lang w:val="uk-UA" w:eastAsia="ru-RU"/>
        </w:rPr>
        <w:t>стаття 1 Закону</w:t>
      </w:r>
      <w:r w:rsidRPr="00DB2874">
        <w:rPr>
          <w:rFonts w:ascii="Times New Roman" w:eastAsia="Times New Roman" w:hAnsi="Times New Roman"/>
          <w:color w:val="000000" w:themeColor="text1"/>
          <w:sz w:val="28"/>
          <w:szCs w:val="28"/>
          <w:lang w:val="uk-UA" w:eastAsia="ru-RU"/>
        </w:rPr>
        <w:t>).</w:t>
      </w:r>
      <w:r w:rsidR="00586E3B">
        <w:rPr>
          <w:rFonts w:ascii="Times New Roman" w:eastAsia="Times New Roman" w:hAnsi="Times New Roman"/>
          <w:color w:val="000000" w:themeColor="text1"/>
          <w:sz w:val="28"/>
          <w:szCs w:val="28"/>
          <w:lang w:val="uk-UA" w:eastAsia="ru-RU"/>
        </w:rPr>
        <w:t xml:space="preserve"> </w:t>
      </w:r>
    </w:p>
    <w:p w:rsidR="00DB2874" w:rsidRPr="00DB2874"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t>Отже, беручи до уваги вищевикладене, слід зазначити, що питання мобінгу</w:t>
      </w:r>
      <w:r w:rsidR="00586E3B">
        <w:rPr>
          <w:rFonts w:ascii="Times New Roman" w:eastAsia="Times New Roman" w:hAnsi="Times New Roman"/>
          <w:color w:val="000000" w:themeColor="text1"/>
          <w:sz w:val="28"/>
          <w:szCs w:val="28"/>
          <w:lang w:val="uk-UA" w:eastAsia="ru-RU"/>
        </w:rPr>
        <w:t>/</w:t>
      </w:r>
      <w:r w:rsidRPr="00DB2874">
        <w:rPr>
          <w:rFonts w:ascii="Times New Roman" w:eastAsia="Times New Roman" w:hAnsi="Times New Roman"/>
          <w:color w:val="000000" w:themeColor="text1"/>
          <w:sz w:val="28"/>
          <w:szCs w:val="28"/>
          <w:lang w:val="uk-UA" w:eastAsia="ru-RU"/>
        </w:rPr>
        <w:t>утиск</w:t>
      </w:r>
      <w:r w:rsidR="00586E3B">
        <w:rPr>
          <w:rFonts w:ascii="Times New Roman" w:eastAsia="Times New Roman" w:hAnsi="Times New Roman"/>
          <w:color w:val="000000" w:themeColor="text1"/>
          <w:sz w:val="28"/>
          <w:szCs w:val="28"/>
          <w:lang w:val="uk-UA" w:eastAsia="ru-RU"/>
        </w:rPr>
        <w:t>у</w:t>
      </w:r>
      <w:r w:rsidRPr="00DB2874">
        <w:rPr>
          <w:rFonts w:ascii="Times New Roman" w:eastAsia="Times New Roman" w:hAnsi="Times New Roman"/>
          <w:color w:val="000000" w:themeColor="text1"/>
          <w:sz w:val="28"/>
          <w:szCs w:val="28"/>
          <w:lang w:val="uk-UA" w:eastAsia="ru-RU"/>
        </w:rPr>
        <w:t xml:space="preserve"> врегульоване чинним законодавством України. </w:t>
      </w:r>
    </w:p>
    <w:p w:rsidR="00DB2874" w:rsidRPr="00C608A2" w:rsidRDefault="00DB2874" w:rsidP="00DB2874">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DB2874">
        <w:rPr>
          <w:rFonts w:ascii="Times New Roman" w:eastAsia="Times New Roman" w:hAnsi="Times New Roman"/>
          <w:color w:val="000000" w:themeColor="text1"/>
          <w:sz w:val="28"/>
          <w:szCs w:val="28"/>
          <w:lang w:val="uk-UA" w:eastAsia="ru-RU"/>
        </w:rPr>
        <w:lastRenderedPageBreak/>
        <w:t xml:space="preserve">Принагідно слід звернути увагу на те, що </w:t>
      </w:r>
      <w:r w:rsidRPr="00475F72">
        <w:rPr>
          <w:rFonts w:ascii="Times New Roman" w:eastAsia="Times New Roman" w:hAnsi="Times New Roman"/>
          <w:color w:val="000000" w:themeColor="text1"/>
          <w:sz w:val="28"/>
          <w:szCs w:val="28"/>
          <w:lang w:val="uk-UA" w:eastAsia="ru-RU"/>
        </w:rPr>
        <w:t>Європейською соціальною хартією (переглянутою)</w:t>
      </w:r>
      <w:r w:rsidRPr="00CD4772">
        <w:rPr>
          <w:rFonts w:ascii="Times New Roman" w:eastAsia="Times New Roman" w:hAnsi="Times New Roman"/>
          <w:color w:val="000000" w:themeColor="text1"/>
          <w:sz w:val="28"/>
          <w:szCs w:val="28"/>
          <w:vertAlign w:val="superscript"/>
          <w:lang w:val="uk-UA" w:eastAsia="ru-RU"/>
        </w:rPr>
        <w:footnoteReference w:id="1"/>
      </w:r>
      <w:r w:rsidRPr="00DB2874">
        <w:rPr>
          <w:rFonts w:ascii="Times New Roman" w:eastAsia="Times New Roman" w:hAnsi="Times New Roman"/>
          <w:color w:val="000000" w:themeColor="text1"/>
          <w:sz w:val="28"/>
          <w:szCs w:val="28"/>
          <w:lang w:val="uk-UA" w:eastAsia="ru-RU"/>
        </w:rPr>
        <w:t xml:space="preserve">, яку Україна ратифікувала 14 вересня 2006 року, передбачається право працівника на захист своєї гідності під час роботи. Так, відповідно до </w:t>
      </w:r>
      <w:r w:rsidRPr="00475F72">
        <w:rPr>
          <w:rFonts w:ascii="Times New Roman" w:eastAsia="Times New Roman" w:hAnsi="Times New Roman"/>
          <w:i/>
          <w:color w:val="000000" w:themeColor="text1"/>
          <w:sz w:val="28"/>
          <w:szCs w:val="28"/>
          <w:lang w:val="uk-UA" w:eastAsia="ru-RU"/>
        </w:rPr>
        <w:t>частини 2 статті 26 Європейської соціальної хартії (переглянутої)</w:t>
      </w:r>
      <w:r w:rsidRPr="00DB2874">
        <w:rPr>
          <w:rFonts w:ascii="Times New Roman" w:eastAsia="Times New Roman" w:hAnsi="Times New Roman"/>
          <w:color w:val="000000" w:themeColor="text1"/>
          <w:sz w:val="28"/>
          <w:szCs w:val="28"/>
          <w:lang w:val="uk-UA" w:eastAsia="ru-RU"/>
        </w:rPr>
        <w:t>, з</w:t>
      </w:r>
      <w:bookmarkStart w:id="0" w:name="n214"/>
      <w:bookmarkEnd w:id="0"/>
      <w:r w:rsidRPr="00DB2874">
        <w:rPr>
          <w:rFonts w:ascii="Times New Roman" w:eastAsia="Times New Roman" w:hAnsi="Times New Roman"/>
          <w:color w:val="000000" w:themeColor="text1"/>
          <w:sz w:val="28"/>
          <w:szCs w:val="28"/>
          <w:lang w:val="uk-UA" w:eastAsia="ru-RU"/>
        </w:rPr>
        <w:t xml:space="preserve"> метою забезпечення ефективного здійснення права всіх працівників на захист їхньої гідності на роботі Сторони зобов’язуються, консультуючись з організаціями роботодавців і працівників, </w:t>
      </w:r>
      <w:bookmarkStart w:id="1" w:name="n215"/>
      <w:bookmarkStart w:id="2" w:name="n216"/>
      <w:bookmarkEnd w:id="1"/>
      <w:bookmarkEnd w:id="2"/>
      <w:r w:rsidRPr="00DB2874">
        <w:rPr>
          <w:rFonts w:ascii="Times New Roman" w:eastAsia="Times New Roman" w:hAnsi="Times New Roman"/>
          <w:color w:val="000000" w:themeColor="text1"/>
          <w:sz w:val="28"/>
          <w:szCs w:val="28"/>
          <w:lang w:val="uk-UA" w:eastAsia="ru-RU"/>
        </w:rPr>
        <w:t>поглиблювати поінформованість, поширювати інформацію про систематичні непорядні або явно негативні та образливі дії щодо окремих працівників на робочому місці або у зв’язку з виконанням роботи, сприяти запобіганню таким діям і вживати всіх відповідних заходів для захисту працівників від такої поведінки.</w:t>
      </w:r>
    </w:p>
    <w:p w:rsidR="00DB2874" w:rsidRPr="00F96407" w:rsidRDefault="00DB2874" w:rsidP="00DB2874">
      <w:pPr>
        <w:spacing w:before="120"/>
        <w:ind w:firstLine="567"/>
        <w:jc w:val="both"/>
        <w:rPr>
          <w:rFonts w:eastAsia="MS Mincho"/>
          <w:sz w:val="28"/>
          <w:szCs w:val="28"/>
          <w:lang w:eastAsia="en-US"/>
        </w:rPr>
      </w:pPr>
    </w:p>
    <w:p w:rsidR="00DB2874" w:rsidRPr="00F96407" w:rsidRDefault="00DB2874" w:rsidP="00DB2874">
      <w:pPr>
        <w:spacing w:line="276" w:lineRule="auto"/>
        <w:ind w:firstLine="567"/>
        <w:jc w:val="both"/>
        <w:rPr>
          <w:bCs/>
          <w:sz w:val="28"/>
          <w:szCs w:val="28"/>
        </w:rPr>
      </w:pPr>
      <w:r w:rsidRPr="00F96407">
        <w:rPr>
          <w:sz w:val="28"/>
          <w:szCs w:val="28"/>
        </w:rPr>
        <w:t xml:space="preserve"> </w:t>
      </w:r>
      <w:r w:rsidRPr="00F96407">
        <w:rPr>
          <w:rFonts w:eastAsia="Verdana"/>
          <w:b/>
          <w:bCs/>
          <w:sz w:val="28"/>
          <w:szCs w:val="28"/>
        </w:rPr>
        <w:t>4.</w:t>
      </w:r>
      <w:r w:rsidRPr="00F96407">
        <w:rPr>
          <w:rFonts w:eastAsia="Verdana"/>
          <w:bCs/>
          <w:sz w:val="28"/>
          <w:szCs w:val="28"/>
        </w:rPr>
        <w:t>   </w:t>
      </w:r>
      <w:r w:rsidRPr="00F96407">
        <w:rPr>
          <w:b/>
          <w:sz w:val="28"/>
          <w:szCs w:val="28"/>
        </w:rPr>
        <w:t xml:space="preserve">Висновок Комітету з питань європейської інтеграції. </w:t>
      </w:r>
    </w:p>
    <w:p w:rsidR="00DB2874" w:rsidRPr="003C58D6" w:rsidRDefault="00DB2874" w:rsidP="00DB2874">
      <w:pPr>
        <w:spacing w:before="120"/>
        <w:ind w:firstLine="567"/>
        <w:jc w:val="both"/>
        <w:rPr>
          <w:color w:val="000000" w:themeColor="text1"/>
          <w:sz w:val="28"/>
          <w:szCs w:val="28"/>
        </w:rPr>
      </w:pPr>
      <w:r w:rsidRPr="00F96407">
        <w:rPr>
          <w:rFonts w:eastAsia="MS Mincho"/>
          <w:sz w:val="28"/>
          <w:szCs w:val="28"/>
          <w:lang w:eastAsia="en-US"/>
        </w:rPr>
        <w:t xml:space="preserve">Проект Закону </w:t>
      </w:r>
      <w:r w:rsidR="00CD4772">
        <w:rPr>
          <w:rFonts w:eastAsia="MS Mincho"/>
          <w:sz w:val="28"/>
          <w:szCs w:val="28"/>
          <w:lang w:eastAsia="en-US"/>
        </w:rPr>
        <w:t xml:space="preserve">за своїм спрямуванням </w:t>
      </w:r>
      <w:r w:rsidRPr="00F96407">
        <w:rPr>
          <w:rFonts w:eastAsia="MS Mincho"/>
          <w:sz w:val="28"/>
          <w:szCs w:val="28"/>
          <w:lang w:eastAsia="en-US"/>
        </w:rPr>
        <w:t>не суперечить праву Європейського Союзу</w:t>
      </w:r>
      <w:r w:rsidR="00CD4772">
        <w:rPr>
          <w:rFonts w:eastAsia="MS Mincho"/>
          <w:sz w:val="28"/>
          <w:szCs w:val="28"/>
          <w:lang w:eastAsia="en-US"/>
        </w:rPr>
        <w:t>. В</w:t>
      </w:r>
      <w:r>
        <w:rPr>
          <w:rFonts w:eastAsia="MS Mincho"/>
          <w:sz w:val="28"/>
          <w:szCs w:val="28"/>
          <w:lang w:eastAsia="en-US"/>
        </w:rPr>
        <w:t>одночас</w:t>
      </w:r>
      <w:r w:rsidR="00CD4772">
        <w:rPr>
          <w:rFonts w:eastAsia="MS Mincho"/>
          <w:sz w:val="28"/>
          <w:szCs w:val="28"/>
          <w:lang w:eastAsia="en-US"/>
        </w:rPr>
        <w:t xml:space="preserve"> </w:t>
      </w:r>
      <w:r w:rsidR="00CD4772" w:rsidRPr="00DB2874">
        <w:rPr>
          <w:color w:val="000000" w:themeColor="text1"/>
          <w:sz w:val="28"/>
          <w:szCs w:val="28"/>
        </w:rPr>
        <w:t>в праві ЄС відсутнє юридичне закріплення поняття «мобінг», натомість забороняється дискримінація будь-якого роду</w:t>
      </w:r>
      <w:r w:rsidR="00FC0AD4">
        <w:rPr>
          <w:color w:val="000000" w:themeColor="text1"/>
          <w:sz w:val="28"/>
          <w:szCs w:val="28"/>
        </w:rPr>
        <w:t xml:space="preserve">. При цьому згідно з правом ЄС однією з форм дискримінації є «утиск», </w:t>
      </w:r>
      <w:r w:rsidR="003C58D6">
        <w:rPr>
          <w:color w:val="000000" w:themeColor="text1"/>
          <w:sz w:val="28"/>
          <w:szCs w:val="28"/>
        </w:rPr>
        <w:t xml:space="preserve">а це поняття вже </w:t>
      </w:r>
      <w:r w:rsidR="003C58D6" w:rsidRPr="003C58D6">
        <w:rPr>
          <w:color w:val="000000" w:themeColor="text1"/>
          <w:sz w:val="28"/>
          <w:szCs w:val="28"/>
        </w:rPr>
        <w:t xml:space="preserve">знайшло своє нормативне закріплення </w:t>
      </w:r>
      <w:r w:rsidR="00FC0AD4">
        <w:rPr>
          <w:color w:val="000000" w:themeColor="text1"/>
          <w:sz w:val="28"/>
          <w:szCs w:val="28"/>
        </w:rPr>
        <w:t>в чинному</w:t>
      </w:r>
      <w:r w:rsidR="00FC0AD4" w:rsidRPr="00DB2874">
        <w:rPr>
          <w:color w:val="000000" w:themeColor="text1"/>
          <w:sz w:val="28"/>
          <w:szCs w:val="28"/>
        </w:rPr>
        <w:t xml:space="preserve"> законодавств</w:t>
      </w:r>
      <w:r w:rsidR="00FC0AD4">
        <w:rPr>
          <w:color w:val="000000" w:themeColor="text1"/>
          <w:sz w:val="28"/>
          <w:szCs w:val="28"/>
        </w:rPr>
        <w:t>і</w:t>
      </w:r>
      <w:r w:rsidR="00FC0AD4" w:rsidRPr="00DB2874">
        <w:rPr>
          <w:color w:val="000000" w:themeColor="text1"/>
          <w:sz w:val="28"/>
          <w:szCs w:val="28"/>
        </w:rPr>
        <w:t xml:space="preserve"> України. </w:t>
      </w:r>
      <w:r w:rsidR="00FC0AD4">
        <w:rPr>
          <w:color w:val="000000" w:themeColor="text1"/>
          <w:sz w:val="28"/>
          <w:szCs w:val="28"/>
        </w:rPr>
        <w:t xml:space="preserve"> </w:t>
      </w:r>
      <w:r w:rsidRPr="003C58D6">
        <w:rPr>
          <w:color w:val="000000" w:themeColor="text1"/>
          <w:sz w:val="28"/>
          <w:szCs w:val="28"/>
        </w:rPr>
        <w:t xml:space="preserve">  </w:t>
      </w:r>
    </w:p>
    <w:p w:rsidR="00DB2874" w:rsidRDefault="00DB2874" w:rsidP="00DB2874">
      <w:pPr>
        <w:spacing w:before="120"/>
        <w:ind w:firstLine="567"/>
        <w:jc w:val="both"/>
        <w:rPr>
          <w:rFonts w:eastAsia="MS Mincho"/>
          <w:sz w:val="28"/>
          <w:szCs w:val="28"/>
          <w:lang w:eastAsia="en-US"/>
        </w:rPr>
      </w:pPr>
    </w:p>
    <w:p w:rsidR="00DB2874" w:rsidRDefault="00DB2874" w:rsidP="00DB2874">
      <w:bookmarkStart w:id="3" w:name="_GoBack"/>
      <w:bookmarkEnd w:id="3"/>
    </w:p>
    <w:p w:rsidR="00DB2874" w:rsidRDefault="00DB2874" w:rsidP="00DB2874"/>
    <w:sectPr w:rsidR="00DB2874" w:rsidSect="00666A7B">
      <w:headerReference w:type="even" r:id="rId7"/>
      <w:headerReference w:type="default" r:id="rId8"/>
      <w:footerReference w:type="even" r:id="rId9"/>
      <w:footerReference w:type="default" r:id="rId10"/>
      <w:headerReference w:type="first" r:id="rId11"/>
      <w:footerReference w:type="first" r:id="rId12"/>
      <w:pgSz w:w="11906" w:h="16838"/>
      <w:pgMar w:top="993" w:right="849"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60B" w:rsidRDefault="0058060B" w:rsidP="00DB2874">
      <w:r>
        <w:separator/>
      </w:r>
    </w:p>
  </w:endnote>
  <w:endnote w:type="continuationSeparator" w:id="0">
    <w:p w:rsidR="0058060B" w:rsidRDefault="0058060B" w:rsidP="00DB2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DD0" w:rsidRDefault="00C83BA6" w:rsidP="00083DD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83DD0" w:rsidRDefault="0058060B">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DD0" w:rsidRPr="00885C95" w:rsidRDefault="00C83BA6" w:rsidP="00885C95">
    <w:pPr>
      <w:pStyle w:val="a3"/>
      <w:framePr w:wrap="around" w:vAnchor="text" w:hAnchor="page" w:x="6151" w:y="16"/>
      <w:rPr>
        <w:rStyle w:val="a5"/>
        <w:sz w:val="24"/>
        <w:szCs w:val="24"/>
      </w:rPr>
    </w:pPr>
    <w:r w:rsidRPr="00885C95">
      <w:rPr>
        <w:rStyle w:val="a5"/>
        <w:sz w:val="24"/>
        <w:szCs w:val="24"/>
      </w:rPr>
      <w:fldChar w:fldCharType="begin"/>
    </w:r>
    <w:r w:rsidRPr="00885C95">
      <w:rPr>
        <w:rStyle w:val="a5"/>
        <w:sz w:val="24"/>
        <w:szCs w:val="24"/>
      </w:rPr>
      <w:instrText xml:space="preserve">PAGE  </w:instrText>
    </w:r>
    <w:r w:rsidRPr="00885C95">
      <w:rPr>
        <w:rStyle w:val="a5"/>
        <w:sz w:val="24"/>
        <w:szCs w:val="24"/>
      </w:rPr>
      <w:fldChar w:fldCharType="separate"/>
    </w:r>
    <w:r w:rsidR="00E542D9">
      <w:rPr>
        <w:rStyle w:val="a5"/>
        <w:noProof/>
        <w:sz w:val="24"/>
        <w:szCs w:val="24"/>
      </w:rPr>
      <w:t>3</w:t>
    </w:r>
    <w:r w:rsidRPr="00885C95">
      <w:rPr>
        <w:rStyle w:val="a5"/>
        <w:sz w:val="24"/>
        <w:szCs w:val="24"/>
      </w:rPr>
      <w:fldChar w:fldCharType="end"/>
    </w:r>
  </w:p>
  <w:p w:rsidR="00083DD0" w:rsidRDefault="0058060B">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58060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60B" w:rsidRDefault="0058060B" w:rsidP="00DB2874">
      <w:r>
        <w:separator/>
      </w:r>
    </w:p>
  </w:footnote>
  <w:footnote w:type="continuationSeparator" w:id="0">
    <w:p w:rsidR="0058060B" w:rsidRDefault="0058060B" w:rsidP="00DB2874">
      <w:r>
        <w:continuationSeparator/>
      </w:r>
    </w:p>
  </w:footnote>
  <w:footnote w:id="1">
    <w:p w:rsidR="00DB2874" w:rsidRPr="009072CE" w:rsidRDefault="00DB2874" w:rsidP="00DB2874">
      <w:pPr>
        <w:pStyle w:val="a8"/>
        <w:jc w:val="both"/>
        <w:rPr>
          <w:sz w:val="24"/>
          <w:szCs w:val="24"/>
        </w:rPr>
      </w:pPr>
      <w:r>
        <w:rPr>
          <w:rStyle w:val="aa"/>
        </w:rPr>
        <w:footnoteRef/>
      </w:r>
      <w:r>
        <w:t xml:space="preserve"> </w:t>
      </w:r>
      <w:r w:rsidRPr="005D39C6">
        <w:rPr>
          <w:sz w:val="24"/>
          <w:szCs w:val="24"/>
        </w:rPr>
        <w:t xml:space="preserve">Ратифікована Законом України «Про ратифікацію </w:t>
      </w:r>
      <w:r>
        <w:rPr>
          <w:sz w:val="24"/>
          <w:szCs w:val="24"/>
        </w:rPr>
        <w:t>Європейської соціальної хартії (переглянутої)</w:t>
      </w:r>
      <w:r w:rsidRPr="005D39C6">
        <w:rPr>
          <w:sz w:val="24"/>
          <w:szCs w:val="24"/>
        </w:rPr>
        <w:t>» від 1</w:t>
      </w:r>
      <w:r>
        <w:rPr>
          <w:sz w:val="24"/>
          <w:szCs w:val="24"/>
        </w:rPr>
        <w:t>4</w:t>
      </w:r>
      <w:r w:rsidRPr="005D39C6">
        <w:rPr>
          <w:sz w:val="24"/>
          <w:szCs w:val="24"/>
        </w:rPr>
        <w:t>.0</w:t>
      </w:r>
      <w:r>
        <w:rPr>
          <w:sz w:val="24"/>
          <w:szCs w:val="24"/>
        </w:rPr>
        <w:t>9</w:t>
      </w:r>
      <w:r w:rsidRPr="005D39C6">
        <w:rPr>
          <w:sz w:val="24"/>
          <w:szCs w:val="24"/>
        </w:rPr>
        <w:t>.</w:t>
      </w:r>
      <w:r>
        <w:rPr>
          <w:sz w:val="24"/>
          <w:szCs w:val="24"/>
        </w:rPr>
        <w:t>2006</w:t>
      </w:r>
      <w:r w:rsidRPr="005D39C6">
        <w:rPr>
          <w:sz w:val="24"/>
          <w:szCs w:val="24"/>
        </w:rPr>
        <w:t xml:space="preserve"> № </w:t>
      </w:r>
      <w:r w:rsidRPr="009072CE">
        <w:rPr>
          <w:sz w:val="24"/>
          <w:szCs w:val="24"/>
        </w:rPr>
        <w:t>137-V</w:t>
      </w:r>
      <w:r w:rsidRPr="005D39C6">
        <w:rPr>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58060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58060B">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58060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113BE"/>
    <w:multiLevelType w:val="hybridMultilevel"/>
    <w:tmpl w:val="7FFE9EDC"/>
    <w:lvl w:ilvl="0" w:tplc="47B8B572">
      <w:start w:val="1"/>
      <w:numFmt w:val="decimal"/>
      <w:lvlText w:val="%1."/>
      <w:lvlJc w:val="left"/>
      <w:pPr>
        <w:tabs>
          <w:tab w:val="num" w:pos="927"/>
        </w:tabs>
        <w:ind w:left="927" w:hanging="360"/>
      </w:pPr>
      <w:rPr>
        <w:rFonts w:eastAsia="Verdan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874"/>
    <w:rsid w:val="003C58D6"/>
    <w:rsid w:val="00475F72"/>
    <w:rsid w:val="0058060B"/>
    <w:rsid w:val="00586E3B"/>
    <w:rsid w:val="006D733D"/>
    <w:rsid w:val="00B6095F"/>
    <w:rsid w:val="00BF40C7"/>
    <w:rsid w:val="00C83BA6"/>
    <w:rsid w:val="00CD4772"/>
    <w:rsid w:val="00CF1D55"/>
    <w:rsid w:val="00DB2874"/>
    <w:rsid w:val="00DE050F"/>
    <w:rsid w:val="00E542D9"/>
    <w:rsid w:val="00FC07A8"/>
    <w:rsid w:val="00FC0A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87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DB2874"/>
    <w:pPr>
      <w:autoSpaceDE/>
      <w:autoSpaceDN/>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uiPriority w:val="99"/>
    <w:rsid w:val="00DB2874"/>
    <w:pPr>
      <w:tabs>
        <w:tab w:val="center" w:pos="4819"/>
        <w:tab w:val="right" w:pos="9639"/>
      </w:tabs>
    </w:pPr>
  </w:style>
  <w:style w:type="character" w:customStyle="1" w:styleId="a4">
    <w:name w:val="Нижній колонтитул Знак"/>
    <w:basedOn w:val="a0"/>
    <w:link w:val="a3"/>
    <w:uiPriority w:val="99"/>
    <w:rsid w:val="00DB2874"/>
    <w:rPr>
      <w:rFonts w:ascii="Times New Roman" w:eastAsia="Times New Roman" w:hAnsi="Times New Roman" w:cs="Times New Roman"/>
      <w:sz w:val="20"/>
      <w:szCs w:val="20"/>
      <w:lang w:eastAsia="ru-RU"/>
    </w:rPr>
  </w:style>
  <w:style w:type="character" w:styleId="a5">
    <w:name w:val="page number"/>
    <w:rsid w:val="00DB2874"/>
  </w:style>
  <w:style w:type="paragraph" w:styleId="a6">
    <w:name w:val="header"/>
    <w:basedOn w:val="a"/>
    <w:link w:val="a7"/>
    <w:uiPriority w:val="99"/>
    <w:unhideWhenUsed/>
    <w:rsid w:val="00DB2874"/>
    <w:pPr>
      <w:tabs>
        <w:tab w:val="center" w:pos="4819"/>
        <w:tab w:val="right" w:pos="9639"/>
      </w:tabs>
    </w:pPr>
  </w:style>
  <w:style w:type="character" w:customStyle="1" w:styleId="a7">
    <w:name w:val="Верхній колонтитул Знак"/>
    <w:basedOn w:val="a0"/>
    <w:link w:val="a6"/>
    <w:uiPriority w:val="99"/>
    <w:rsid w:val="00DB2874"/>
    <w:rPr>
      <w:rFonts w:ascii="Times New Roman" w:eastAsia="Times New Roman" w:hAnsi="Times New Roman" w:cs="Times New Roman"/>
      <w:sz w:val="20"/>
      <w:szCs w:val="20"/>
      <w:lang w:eastAsia="ru-RU"/>
    </w:rPr>
  </w:style>
  <w:style w:type="paragraph" w:styleId="a8">
    <w:name w:val="footnote text"/>
    <w:basedOn w:val="a"/>
    <w:link w:val="a9"/>
    <w:semiHidden/>
    <w:unhideWhenUsed/>
    <w:rsid w:val="00DB2874"/>
    <w:pPr>
      <w:autoSpaceDE/>
      <w:autoSpaceDN/>
    </w:pPr>
  </w:style>
  <w:style w:type="character" w:customStyle="1" w:styleId="a9">
    <w:name w:val="Текст виноски Знак"/>
    <w:basedOn w:val="a0"/>
    <w:link w:val="a8"/>
    <w:uiPriority w:val="99"/>
    <w:semiHidden/>
    <w:rsid w:val="00DB2874"/>
    <w:rPr>
      <w:rFonts w:ascii="Times New Roman" w:eastAsia="Times New Roman" w:hAnsi="Times New Roman" w:cs="Times New Roman"/>
      <w:sz w:val="20"/>
      <w:szCs w:val="20"/>
      <w:lang w:eastAsia="ru-RU"/>
    </w:rPr>
  </w:style>
  <w:style w:type="paragraph" w:styleId="HTML">
    <w:name w:val="HTML Preformatted"/>
    <w:basedOn w:val="a"/>
    <w:link w:val="HTML0"/>
    <w:unhideWhenUsed/>
    <w:rsid w:val="00DB2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uk-UA"/>
    </w:rPr>
  </w:style>
  <w:style w:type="character" w:customStyle="1" w:styleId="HTML0">
    <w:name w:val="Стандартний HTML Знак"/>
    <w:basedOn w:val="a0"/>
    <w:link w:val="HTML"/>
    <w:rsid w:val="00DB2874"/>
    <w:rPr>
      <w:rFonts w:ascii="Courier New" w:eastAsia="Times New Roman" w:hAnsi="Courier New" w:cs="Courier New"/>
      <w:sz w:val="20"/>
      <w:szCs w:val="20"/>
      <w:lang w:eastAsia="uk-UA"/>
    </w:rPr>
  </w:style>
  <w:style w:type="character" w:styleId="aa">
    <w:name w:val="footnote reference"/>
    <w:basedOn w:val="a0"/>
    <w:semiHidden/>
    <w:unhideWhenUsed/>
    <w:rsid w:val="00DB2874"/>
    <w:rPr>
      <w:vertAlign w:val="superscript"/>
    </w:rPr>
  </w:style>
  <w:style w:type="character" w:customStyle="1" w:styleId="rvts0">
    <w:name w:val="rvts0"/>
    <w:basedOn w:val="a0"/>
    <w:rsid w:val="00DB2874"/>
  </w:style>
  <w:style w:type="character" w:styleId="ab">
    <w:name w:val="Strong"/>
    <w:basedOn w:val="a0"/>
    <w:uiPriority w:val="22"/>
    <w:qFormat/>
    <w:rsid w:val="00DB28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4243</Words>
  <Characters>2419</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2018-05-21T08:58:00Z</dcterms:created>
  <dcterms:modified xsi:type="dcterms:W3CDTF">2018-09-05T12:07:00Z</dcterms:modified>
</cp:coreProperties>
</file>