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7CC" w:rsidRPr="00A147CC" w:rsidRDefault="00A147CC" w:rsidP="00A147CC">
      <w:pPr>
        <w:spacing w:after="0"/>
        <w:ind w:left="6120"/>
        <w:jc w:val="right"/>
        <w:rPr>
          <w:rFonts w:eastAsia="Times New Roman" w:cs="Times New Roman"/>
          <w:bCs/>
          <w:sz w:val="20"/>
          <w:szCs w:val="20"/>
          <w:lang w:eastAsia="ru-RU"/>
        </w:rPr>
      </w:pPr>
      <w:r w:rsidRPr="00A147CC">
        <w:rPr>
          <w:rFonts w:eastAsia="Times New Roman" w:cs="Times New Roman"/>
          <w:bCs/>
          <w:caps/>
          <w:sz w:val="20"/>
          <w:szCs w:val="20"/>
          <w:lang w:eastAsia="ru-RU"/>
        </w:rPr>
        <w:t>Д</w:t>
      </w:r>
      <w:r w:rsidRPr="00A147CC">
        <w:rPr>
          <w:rFonts w:eastAsia="Times New Roman" w:cs="Times New Roman"/>
          <w:bCs/>
          <w:sz w:val="20"/>
          <w:szCs w:val="20"/>
          <w:lang w:eastAsia="ru-RU"/>
        </w:rPr>
        <w:t xml:space="preserve">о реєстр. № </w:t>
      </w:r>
      <w:r>
        <w:rPr>
          <w:rFonts w:eastAsia="Times New Roman" w:cs="Times New Roman"/>
          <w:bCs/>
          <w:sz w:val="20"/>
          <w:szCs w:val="20"/>
          <w:lang w:eastAsia="ru-RU"/>
        </w:rPr>
        <w:t>6027-д</w:t>
      </w:r>
      <w:r w:rsidRPr="00A147CC">
        <w:rPr>
          <w:rFonts w:eastAsia="Times New Roman" w:cs="Times New Roman"/>
          <w:bCs/>
          <w:sz w:val="20"/>
          <w:szCs w:val="20"/>
          <w:lang w:val="ru-RU" w:eastAsia="ru-RU"/>
        </w:rPr>
        <w:t xml:space="preserve">  </w:t>
      </w:r>
    </w:p>
    <w:p w:rsidR="00A147CC" w:rsidRPr="00A147CC" w:rsidRDefault="00A147CC" w:rsidP="00A147CC">
      <w:pPr>
        <w:spacing w:after="0"/>
        <w:ind w:left="6120"/>
        <w:jc w:val="right"/>
        <w:rPr>
          <w:rFonts w:eastAsia="Times New Roman" w:cs="Times New Roman"/>
          <w:bCs/>
          <w:sz w:val="20"/>
          <w:szCs w:val="20"/>
          <w:lang w:eastAsia="ru-RU"/>
        </w:rPr>
      </w:pPr>
      <w:r w:rsidRPr="00A147CC">
        <w:rPr>
          <w:rFonts w:eastAsia="Times New Roman" w:cs="Times New Roman"/>
          <w:bCs/>
          <w:sz w:val="20"/>
          <w:szCs w:val="20"/>
          <w:lang w:eastAsia="ru-RU"/>
        </w:rPr>
        <w:t>(друге читання)</w:t>
      </w:r>
    </w:p>
    <w:p w:rsidR="00A147CC" w:rsidRPr="00A147CC" w:rsidRDefault="00A147CC" w:rsidP="00A147CC">
      <w:pPr>
        <w:spacing w:after="0"/>
        <w:jc w:val="right"/>
        <w:rPr>
          <w:rFonts w:eastAsia="Times New Roman" w:cs="Times New Roman"/>
          <w:sz w:val="20"/>
          <w:szCs w:val="20"/>
          <w:lang w:eastAsia="ru-RU"/>
        </w:rPr>
      </w:pPr>
    </w:p>
    <w:p w:rsidR="00A147CC" w:rsidRPr="00A147CC" w:rsidRDefault="00A147CC" w:rsidP="00A147CC">
      <w:pPr>
        <w:spacing w:after="0"/>
        <w:jc w:val="center"/>
        <w:rPr>
          <w:rFonts w:eastAsia="Times New Roman" w:cs="Times New Roman"/>
          <w:b/>
          <w:bCs/>
          <w:sz w:val="32"/>
          <w:szCs w:val="24"/>
          <w:lang w:eastAsia="ru-RU"/>
        </w:rPr>
      </w:pPr>
    </w:p>
    <w:p w:rsidR="00A147CC" w:rsidRPr="00A147CC" w:rsidRDefault="00A147CC" w:rsidP="00A147CC">
      <w:pPr>
        <w:spacing w:after="0"/>
        <w:jc w:val="center"/>
        <w:rPr>
          <w:rFonts w:eastAsia="Times New Roman" w:cs="Times New Roman"/>
          <w:b/>
          <w:bCs/>
          <w:sz w:val="32"/>
          <w:szCs w:val="24"/>
          <w:lang w:eastAsia="ru-RU"/>
        </w:rPr>
      </w:pPr>
    </w:p>
    <w:p w:rsidR="00A147CC" w:rsidRPr="00A147CC" w:rsidRDefault="00A147CC" w:rsidP="00A147CC">
      <w:pPr>
        <w:spacing w:after="0"/>
        <w:jc w:val="center"/>
        <w:rPr>
          <w:rFonts w:eastAsia="Times New Roman" w:cs="Times New Roman"/>
          <w:b/>
          <w:bCs/>
          <w:sz w:val="32"/>
          <w:szCs w:val="24"/>
          <w:lang w:eastAsia="ru-RU"/>
        </w:rPr>
      </w:pPr>
    </w:p>
    <w:p w:rsidR="00A147CC" w:rsidRPr="00A147CC" w:rsidRDefault="00A147CC" w:rsidP="00A147CC">
      <w:pPr>
        <w:spacing w:after="0"/>
        <w:jc w:val="center"/>
        <w:rPr>
          <w:rFonts w:eastAsia="Times New Roman" w:cs="Times New Roman"/>
          <w:b/>
          <w:bCs/>
          <w:sz w:val="32"/>
          <w:szCs w:val="24"/>
          <w:lang w:eastAsia="ru-RU"/>
        </w:rPr>
      </w:pPr>
    </w:p>
    <w:p w:rsidR="00A147CC" w:rsidRPr="00A147CC" w:rsidRDefault="00A147CC" w:rsidP="00A147CC">
      <w:pPr>
        <w:spacing w:after="0"/>
        <w:jc w:val="center"/>
        <w:rPr>
          <w:rFonts w:eastAsia="Times New Roman" w:cs="Times New Roman"/>
          <w:b/>
          <w:bCs/>
          <w:sz w:val="32"/>
          <w:szCs w:val="24"/>
          <w:lang w:eastAsia="ru-RU"/>
        </w:rPr>
      </w:pPr>
    </w:p>
    <w:p w:rsidR="00A147CC" w:rsidRPr="00A147CC" w:rsidRDefault="00A147CC" w:rsidP="00A147CC">
      <w:pPr>
        <w:spacing w:after="0"/>
        <w:jc w:val="center"/>
        <w:rPr>
          <w:rFonts w:eastAsia="Times New Roman" w:cs="Times New Roman"/>
          <w:b/>
          <w:bCs/>
          <w:sz w:val="32"/>
          <w:szCs w:val="24"/>
          <w:lang w:eastAsia="ru-RU"/>
        </w:rPr>
      </w:pPr>
    </w:p>
    <w:p w:rsidR="00A147CC" w:rsidRPr="00A147CC" w:rsidRDefault="00A147CC" w:rsidP="00A147CC">
      <w:pPr>
        <w:spacing w:after="0"/>
        <w:jc w:val="center"/>
        <w:rPr>
          <w:rFonts w:eastAsia="Times New Roman" w:cs="Times New Roman"/>
          <w:b/>
          <w:bCs/>
          <w:szCs w:val="28"/>
          <w:lang w:eastAsia="ru-RU"/>
        </w:rPr>
      </w:pPr>
    </w:p>
    <w:p w:rsidR="00A147CC" w:rsidRPr="00A147CC" w:rsidRDefault="00A147CC" w:rsidP="00A147CC">
      <w:pPr>
        <w:pStyle w:val="a3"/>
        <w:jc w:val="center"/>
        <w:rPr>
          <w:b/>
          <w:lang w:val="uk-UA" w:eastAsia="ru-RU"/>
        </w:rPr>
      </w:pPr>
      <w:r w:rsidRPr="00A147CC">
        <w:rPr>
          <w:b/>
          <w:lang w:val="uk-UA" w:eastAsia="ru-RU"/>
        </w:rPr>
        <w:t xml:space="preserve">З А У В А Ж Е Н </w:t>
      </w:r>
      <w:proofErr w:type="spellStart"/>
      <w:r w:rsidRPr="00A147CC">
        <w:rPr>
          <w:b/>
          <w:lang w:val="uk-UA" w:eastAsia="ru-RU"/>
        </w:rPr>
        <w:t>Н</w:t>
      </w:r>
      <w:proofErr w:type="spellEnd"/>
      <w:r w:rsidRPr="00A147CC">
        <w:rPr>
          <w:b/>
          <w:lang w:val="uk-UA" w:eastAsia="ru-RU"/>
        </w:rPr>
        <w:t xml:space="preserve"> Я</w:t>
      </w:r>
    </w:p>
    <w:p w:rsidR="00A147CC" w:rsidRPr="00A147CC" w:rsidRDefault="00A147CC" w:rsidP="00A147CC">
      <w:pPr>
        <w:pStyle w:val="a3"/>
        <w:jc w:val="center"/>
        <w:rPr>
          <w:b/>
          <w:sz w:val="32"/>
          <w:szCs w:val="24"/>
          <w:lang w:val="uk-UA" w:eastAsia="ru-RU"/>
        </w:rPr>
      </w:pPr>
    </w:p>
    <w:p w:rsidR="00A147CC" w:rsidRPr="00A147CC" w:rsidRDefault="00A147CC" w:rsidP="00A147CC">
      <w:pPr>
        <w:pStyle w:val="a3"/>
        <w:jc w:val="center"/>
        <w:rPr>
          <w:b/>
          <w:lang w:val="uk-UA" w:eastAsia="ru-RU"/>
        </w:rPr>
      </w:pPr>
      <w:r w:rsidRPr="00A147CC">
        <w:rPr>
          <w:b/>
          <w:lang w:val="uk-UA" w:eastAsia="ru-RU"/>
        </w:rPr>
        <w:t>до проекту Закону України</w:t>
      </w:r>
    </w:p>
    <w:p w:rsidR="00A147CC" w:rsidRPr="00A147CC" w:rsidRDefault="00A147CC" w:rsidP="00A147CC">
      <w:pPr>
        <w:pStyle w:val="a3"/>
        <w:jc w:val="center"/>
        <w:rPr>
          <w:b/>
          <w:lang w:val="uk-UA" w:eastAsia="uk-UA"/>
        </w:rPr>
      </w:pPr>
      <w:r w:rsidRPr="00A147CC">
        <w:rPr>
          <w:b/>
          <w:lang w:val="uk-UA" w:eastAsia="ru-RU"/>
        </w:rPr>
        <w:t>«Про внесення</w:t>
      </w:r>
      <w:r w:rsidRPr="00A147CC">
        <w:rPr>
          <w:b/>
          <w:lang w:val="uk-UA" w:eastAsia="uk-UA"/>
        </w:rPr>
        <w:t xml:space="preserve"> змін до деяких законодавчих актів України</w:t>
      </w:r>
    </w:p>
    <w:p w:rsidR="00A147CC" w:rsidRPr="00A147CC" w:rsidRDefault="00A147CC" w:rsidP="00A147CC">
      <w:pPr>
        <w:pStyle w:val="a3"/>
        <w:jc w:val="center"/>
        <w:rPr>
          <w:b/>
          <w:lang w:val="uk-UA" w:eastAsia="uk-UA"/>
        </w:rPr>
      </w:pPr>
      <w:r w:rsidRPr="00A147CC">
        <w:rPr>
          <w:b/>
          <w:lang w:val="uk-UA" w:eastAsia="uk-UA"/>
        </w:rPr>
        <w:t>щодо відновлення кредитування»</w:t>
      </w:r>
    </w:p>
    <w:p w:rsidR="00A147CC" w:rsidRPr="00A147CC" w:rsidRDefault="00A147CC" w:rsidP="00A147CC">
      <w:pPr>
        <w:ind w:firstLine="567"/>
        <w:rPr>
          <w:b/>
          <w:lang w:eastAsia="ru-RU"/>
        </w:rPr>
      </w:pPr>
    </w:p>
    <w:p w:rsidR="00893B43" w:rsidRDefault="00893B43" w:rsidP="00A147CC">
      <w:pPr>
        <w:ind w:firstLine="567"/>
        <w:rPr>
          <w:rFonts w:eastAsia="Calibri"/>
        </w:rPr>
      </w:pPr>
    </w:p>
    <w:p w:rsidR="00A147CC" w:rsidRPr="00A147CC" w:rsidRDefault="00A147CC" w:rsidP="00A147CC">
      <w:pPr>
        <w:ind w:firstLine="567"/>
        <w:rPr>
          <w:rFonts w:eastAsia="Calibri"/>
          <w:lang w:eastAsia="ru-RU"/>
        </w:rPr>
      </w:pPr>
      <w:r w:rsidRPr="00A147CC">
        <w:rPr>
          <w:rFonts w:eastAsia="Calibri"/>
        </w:rPr>
        <w:t xml:space="preserve">В </w:t>
      </w:r>
      <w:r w:rsidRPr="00A147CC">
        <w:rPr>
          <w:rFonts w:eastAsia="Calibri"/>
          <w:lang w:eastAsia="ru-RU"/>
        </w:rPr>
        <w:t>Головному юридичному управлінні проаналізовано текст проекту Закону України «</w:t>
      </w:r>
      <w:r w:rsidRPr="00A147CC">
        <w:rPr>
          <w:rFonts w:eastAsia="Calibri"/>
        </w:rPr>
        <w:t>Про</w:t>
      </w:r>
      <w:r>
        <w:rPr>
          <w:rFonts w:eastAsia="Calibri"/>
        </w:rPr>
        <w:t xml:space="preserve"> внесення змін до деяких законодавчих актів України щодо відновлення кредитування</w:t>
      </w:r>
      <w:r w:rsidRPr="00A147CC">
        <w:rPr>
          <w:rFonts w:eastAsia="Calibri"/>
        </w:rPr>
        <w:t>»</w:t>
      </w:r>
      <w:r w:rsidRPr="00A147CC">
        <w:rPr>
          <w:rFonts w:eastAsia="Calibri"/>
          <w:lang w:eastAsia="ru-RU"/>
        </w:rPr>
        <w:t xml:space="preserve">, який підготовлений до розгляду в другому читанні, та завертається увага на таке. </w:t>
      </w:r>
    </w:p>
    <w:p w:rsidR="00893B43" w:rsidRDefault="00893B43" w:rsidP="00A147CC">
      <w:pPr>
        <w:ind w:firstLine="567"/>
        <w:rPr>
          <w:lang w:eastAsia="ja-JP"/>
        </w:rPr>
      </w:pPr>
    </w:p>
    <w:p w:rsidR="00A147CC" w:rsidRDefault="00A147CC" w:rsidP="00A147CC">
      <w:pPr>
        <w:ind w:firstLine="567"/>
        <w:rPr>
          <w:lang w:eastAsia="ja-JP"/>
        </w:rPr>
      </w:pPr>
      <w:r>
        <w:rPr>
          <w:lang w:eastAsia="ja-JP"/>
        </w:rPr>
        <w:t xml:space="preserve">1. Пунктом 3 Розділу ІІ </w:t>
      </w:r>
      <w:r>
        <w:t xml:space="preserve">Прикінцевих положень законопроекту пропонується встановити законодавчий припис, за яким: «на період.. тимчасової окупації території України дозволяється посвідчувати зміни до договору застави та/або іпотечного договору, </w:t>
      </w:r>
      <w:r w:rsidRPr="00B028FA">
        <w:rPr>
          <w:b/>
        </w:rPr>
        <w:t>що був нотаріально посвідчений на тимчасово окупованій території України</w:t>
      </w:r>
      <w:r>
        <w:t>, а також …до … окупації території, за місцезнаходженням (місцем реєстрації) нерухомого майна, транспортних засобів або за місцезнаходженням (місцем реєстрації) однієї із сторін договору</w:t>
      </w:r>
      <w:r w:rsidR="00B028FA">
        <w:t>»</w:t>
      </w:r>
      <w:r>
        <w:t>.</w:t>
      </w:r>
    </w:p>
    <w:p w:rsidR="00A147CC" w:rsidRDefault="00A147CC" w:rsidP="00A147CC">
      <w:pPr>
        <w:ind w:firstLine="567"/>
      </w:pPr>
      <w:r>
        <w:t>Вважаємо, що зазначене положення концептуально змінює позицію України закріплену Законом України «Про забезпечення прав і свобод громадян та правовий режим на тимчасово окупованій території України», стосовно визнання актів органів та їх посадових осіб, які утворені і діють на тимчасово окупованій території не за законодавством України.</w:t>
      </w:r>
    </w:p>
    <w:p w:rsidR="00A147CC" w:rsidRDefault="00A147CC" w:rsidP="00A147CC">
      <w:pPr>
        <w:ind w:firstLine="567"/>
      </w:pPr>
      <w:r>
        <w:t xml:space="preserve">Так, за статтею 9 цього Закону будь-які органи, їх посадові та службові особи на тимчасово окупованій території та їх діяльність вважаються незаконними, будь-який акт (рішення, документ), виданий цими органами та/або особами, є недійсним і не створює правових наслідків. За статтею 11 цього ж Закону набуття та припинення права власності на нерухоме майно, яке знаходиться на тимчасово окупованій території, здійснюється відповідно до законодавства України за межами тимчасово окупованої території. На тимчасово окупованій території будь-який правочин щодо нерухомого майна, у тому числі щодо земельних ділянок, вчинений з порушенням вимог цього Закону, інших </w:t>
      </w:r>
      <w:r>
        <w:lastRenderedPageBreak/>
        <w:t>законів України, вважається недійсним з моменту вчинення і не створює юридичних наслідків, крім тих, що пов’язані з його недійсністю.</w:t>
      </w:r>
    </w:p>
    <w:p w:rsidR="00A147CC" w:rsidRDefault="00A147CC" w:rsidP="00A147CC">
      <w:pPr>
        <w:ind w:firstLine="567"/>
      </w:pPr>
      <w:r>
        <w:t>Відтак з, метою узгодження законодавчих актів, відповідні концептуальні зміни мають бути внесені до Закону України «Про забезпечення прав і свобод громадян та правовий режим на тимчасово окупованій території України».</w:t>
      </w:r>
    </w:p>
    <w:p w:rsidR="00A147CC" w:rsidRDefault="00A147CC" w:rsidP="00A147CC">
      <w:pPr>
        <w:ind w:firstLine="567"/>
      </w:pPr>
    </w:p>
    <w:p w:rsidR="00A147CC" w:rsidRPr="00A06561" w:rsidRDefault="00A147CC" w:rsidP="00A147CC">
      <w:pPr>
        <w:ind w:firstLine="567"/>
        <w:rPr>
          <w:rStyle w:val="rvts0"/>
          <w:szCs w:val="28"/>
        </w:rPr>
      </w:pPr>
      <w:r>
        <w:t>2.</w:t>
      </w:r>
      <w:r w:rsidRPr="00A06561">
        <w:t>Відповідно до частини третьої статті 62 Закону України «Про банки і банківську діяльність» (в редакції проекту) «д</w:t>
      </w:r>
      <w:r w:rsidRPr="00A06561">
        <w:rPr>
          <w:rStyle w:val="rvts0"/>
          <w:szCs w:val="28"/>
        </w:rPr>
        <w:t xml:space="preserve">овідки по рахунках (вкладах) у разі смерті їх власників надаються банком особам, зазначеним власником рахунку (вкладу) в </w:t>
      </w:r>
      <w:r w:rsidRPr="00A06561">
        <w:rPr>
          <w:rStyle w:val="rvts0"/>
          <w:szCs w:val="28"/>
          <w:u w:val="single"/>
        </w:rPr>
        <w:t>заповідальному розпорядженні банку</w:t>
      </w:r>
      <w:r w:rsidRPr="00A06561">
        <w:rPr>
          <w:rStyle w:val="rvts0"/>
          <w:szCs w:val="28"/>
        </w:rPr>
        <w:t xml:space="preserve">, державним нотаріальним конторам або приватним нотаріусам, </w:t>
      </w:r>
      <w:r w:rsidRPr="00A06561">
        <w:t>посадовим особам органів місцевого самоврядування, уповноваженим на вчинення нотаріальних дій</w:t>
      </w:r>
      <w:r w:rsidRPr="00A06561">
        <w:rPr>
          <w:rStyle w:val="rvts0"/>
          <w:szCs w:val="28"/>
        </w:rPr>
        <w:t xml:space="preserve">, іноземним консульським установам </w:t>
      </w:r>
      <w:r w:rsidRPr="00A06561">
        <w:t xml:space="preserve">при вчиненні такими особами нотаріальних дій з охорони спадкового майна, </w:t>
      </w:r>
      <w:r w:rsidRPr="00A06561">
        <w:rPr>
          <w:u w:val="single"/>
        </w:rPr>
        <w:t>з оформлення спадщини</w:t>
      </w:r>
      <w:r w:rsidRPr="00A06561">
        <w:t xml:space="preserve">, з видачі </w:t>
      </w:r>
      <w:proofErr w:type="spellStart"/>
      <w:r w:rsidRPr="00A06561">
        <w:t>свідоцтв</w:t>
      </w:r>
      <w:proofErr w:type="spellEnd"/>
      <w:r w:rsidRPr="00A06561">
        <w:t xml:space="preserve"> про право на спадщину, з видачі </w:t>
      </w:r>
      <w:proofErr w:type="spellStart"/>
      <w:r w:rsidRPr="00A06561">
        <w:t>свідоцтв</w:t>
      </w:r>
      <w:proofErr w:type="spellEnd"/>
      <w:r w:rsidRPr="00A06561">
        <w:t xml:space="preserve"> про право власності на частку в спільному майні подружжя в разі смерті одного з подружжя, </w:t>
      </w:r>
      <w:r w:rsidRPr="00A06561">
        <w:rPr>
          <w:rStyle w:val="rvts0"/>
          <w:szCs w:val="28"/>
        </w:rPr>
        <w:t>за рахунками (вкладами) померлих власників рахунків (вкладів)».</w:t>
      </w:r>
    </w:p>
    <w:p w:rsidR="00A147CC" w:rsidRDefault="00A147CC" w:rsidP="00A147CC">
      <w:pPr>
        <w:ind w:firstLine="567"/>
        <w:rPr>
          <w:rStyle w:val="rvts0"/>
          <w:szCs w:val="28"/>
        </w:rPr>
      </w:pPr>
      <w:r w:rsidRPr="00A06561">
        <w:rPr>
          <w:rStyle w:val="rvts0"/>
          <w:szCs w:val="28"/>
        </w:rPr>
        <w:t>Натомість</w:t>
      </w:r>
      <w:r>
        <w:rPr>
          <w:rStyle w:val="rvts0"/>
          <w:szCs w:val="28"/>
        </w:rPr>
        <w:t xml:space="preserve"> це </w:t>
      </w:r>
      <w:r w:rsidRPr="00A06561">
        <w:rPr>
          <w:rStyle w:val="rvts0"/>
          <w:szCs w:val="28"/>
        </w:rPr>
        <w:t xml:space="preserve"> </w:t>
      </w:r>
      <w:r>
        <w:rPr>
          <w:rStyle w:val="rvts0"/>
          <w:szCs w:val="28"/>
        </w:rPr>
        <w:t xml:space="preserve">положення законопроекту потребує узгодження із нормами Цивільного кодексу України та Закону України «Про нотаріат». </w:t>
      </w:r>
    </w:p>
    <w:p w:rsidR="00A147CC" w:rsidRDefault="00A147CC" w:rsidP="00A147CC">
      <w:pPr>
        <w:ind w:firstLine="567"/>
        <w:rPr>
          <w:rStyle w:val="rvts0"/>
          <w:szCs w:val="28"/>
        </w:rPr>
      </w:pPr>
      <w:r>
        <w:rPr>
          <w:rStyle w:val="rvts0"/>
          <w:szCs w:val="28"/>
        </w:rPr>
        <w:t xml:space="preserve">Так, згідно із статтею 34 Закону України «Про нотаріат» нотаріуси (приватні та державні) вчиняють, зокрема, такі нотаріальні дії щодо спадщини, а саме: посвідчують заповіти; </w:t>
      </w:r>
      <w:r w:rsidRPr="00A06561">
        <w:rPr>
          <w:rStyle w:val="rvts0"/>
          <w:szCs w:val="28"/>
        </w:rPr>
        <w:t>вживають заходів щодо охорони спадкового майна;</w:t>
      </w:r>
      <w:r>
        <w:rPr>
          <w:rStyle w:val="rvts0"/>
          <w:szCs w:val="28"/>
        </w:rPr>
        <w:t xml:space="preserve"> </w:t>
      </w:r>
      <w:r w:rsidRPr="00A06561">
        <w:rPr>
          <w:rStyle w:val="rvts0"/>
          <w:szCs w:val="28"/>
        </w:rPr>
        <w:t>видають свідоцтва про право на спадщину;</w:t>
      </w:r>
      <w:r>
        <w:rPr>
          <w:rStyle w:val="rvts0"/>
          <w:szCs w:val="28"/>
        </w:rPr>
        <w:t xml:space="preserve"> </w:t>
      </w:r>
      <w:r w:rsidRPr="00A06561">
        <w:rPr>
          <w:rStyle w:val="rvts0"/>
          <w:szCs w:val="28"/>
        </w:rPr>
        <w:t xml:space="preserve">видають свідоцтва про право власності на частку в спільному майні подружжя </w:t>
      </w:r>
      <w:r>
        <w:rPr>
          <w:rStyle w:val="rvts0"/>
          <w:szCs w:val="28"/>
        </w:rPr>
        <w:t>в разі смерті одного з подружжя. У</w:t>
      </w:r>
      <w:r w:rsidRPr="00A06561">
        <w:rPr>
          <w:rStyle w:val="rvts0"/>
          <w:szCs w:val="28"/>
        </w:rPr>
        <w:t xml:space="preserve"> сільських населених  пунктах уповноважені на це посадові особи органу місцевого самоврядування вчиняють такі нотаріальні дії: вживають заходів щодо охорони спадкового майна;</w:t>
      </w:r>
      <w:r>
        <w:rPr>
          <w:rStyle w:val="rvts0"/>
          <w:szCs w:val="28"/>
        </w:rPr>
        <w:t xml:space="preserve"> </w:t>
      </w:r>
      <w:r w:rsidRPr="00A06561">
        <w:rPr>
          <w:rStyle w:val="rvts0"/>
          <w:szCs w:val="28"/>
        </w:rPr>
        <w:t>посвідчують заповіти (крім секретних);</w:t>
      </w:r>
      <w:r>
        <w:rPr>
          <w:rStyle w:val="rvts0"/>
          <w:szCs w:val="28"/>
        </w:rPr>
        <w:t xml:space="preserve"> </w:t>
      </w:r>
      <w:r w:rsidRPr="00A06561">
        <w:rPr>
          <w:rStyle w:val="rvts0"/>
          <w:szCs w:val="28"/>
        </w:rPr>
        <w:t>видають свідоцтва про право на спадщину; видають свідоцтва про право власності на частку в спільному майні подружжя в разі смерті одного з подружжя</w:t>
      </w:r>
      <w:r>
        <w:rPr>
          <w:rStyle w:val="rvts0"/>
          <w:szCs w:val="28"/>
        </w:rPr>
        <w:t xml:space="preserve"> (стаття 37 Закону України «Про нотаріат»). </w:t>
      </w:r>
    </w:p>
    <w:p w:rsidR="00A147CC" w:rsidRDefault="00A147CC" w:rsidP="00A147CC">
      <w:pPr>
        <w:ind w:firstLine="567"/>
        <w:rPr>
          <w:rStyle w:val="rvts0"/>
          <w:szCs w:val="28"/>
        </w:rPr>
      </w:pPr>
      <w:r>
        <w:rPr>
          <w:rStyle w:val="rvts0"/>
          <w:szCs w:val="28"/>
        </w:rPr>
        <w:t xml:space="preserve">Звертаємо також увагу на те, що глава 89 Цивільного кодексу України, яка має назву «Оформлення спадщини», регулює відносини щодо одержання свідоцтва про право на спадщину (статті 1296-1301). </w:t>
      </w:r>
    </w:p>
    <w:p w:rsidR="00A147CC" w:rsidRDefault="00A147CC" w:rsidP="00A147CC">
      <w:pPr>
        <w:ind w:firstLine="567"/>
        <w:rPr>
          <w:rStyle w:val="rvts0"/>
          <w:szCs w:val="28"/>
        </w:rPr>
      </w:pPr>
      <w:r>
        <w:rPr>
          <w:rStyle w:val="rvts0"/>
          <w:szCs w:val="28"/>
        </w:rPr>
        <w:t xml:space="preserve">Отже, Цивільним кодексом України та Законом України «Про нотаріат» не передбачено такої окремої нотаріальної дії, як «оформлення спадщини», відтак </w:t>
      </w:r>
      <w:r w:rsidR="00B028FA">
        <w:rPr>
          <w:rStyle w:val="rvts0"/>
          <w:szCs w:val="28"/>
        </w:rPr>
        <w:t>положення проекту щодо цієї нотаріальної</w:t>
      </w:r>
      <w:r>
        <w:rPr>
          <w:rStyle w:val="rvts0"/>
          <w:szCs w:val="28"/>
        </w:rPr>
        <w:t xml:space="preserve"> д</w:t>
      </w:r>
      <w:r w:rsidR="00B028FA">
        <w:rPr>
          <w:rStyle w:val="rvts0"/>
          <w:szCs w:val="28"/>
        </w:rPr>
        <w:t>ії</w:t>
      </w:r>
      <w:r>
        <w:rPr>
          <w:rStyle w:val="rvts0"/>
          <w:szCs w:val="28"/>
        </w:rPr>
        <w:t>, на нашу думку, мал</w:t>
      </w:r>
      <w:r w:rsidR="00B028FA">
        <w:rPr>
          <w:rStyle w:val="rvts0"/>
          <w:szCs w:val="28"/>
        </w:rPr>
        <w:t>о</w:t>
      </w:r>
      <w:r>
        <w:rPr>
          <w:rStyle w:val="rvts0"/>
          <w:szCs w:val="28"/>
        </w:rPr>
        <w:t xml:space="preserve"> б бути виключен</w:t>
      </w:r>
      <w:r w:rsidR="00B028FA">
        <w:rPr>
          <w:rStyle w:val="rvts0"/>
          <w:szCs w:val="28"/>
        </w:rPr>
        <w:t>е</w:t>
      </w:r>
      <w:r>
        <w:rPr>
          <w:rStyle w:val="rvts0"/>
          <w:szCs w:val="28"/>
        </w:rPr>
        <w:t xml:space="preserve"> із тексту проекту. </w:t>
      </w:r>
    </w:p>
    <w:p w:rsidR="00A147CC" w:rsidRPr="00A06561" w:rsidRDefault="00A147CC" w:rsidP="00A147CC">
      <w:pPr>
        <w:ind w:firstLine="567"/>
        <w:rPr>
          <w:shd w:val="clear" w:color="auto" w:fill="FFFFFF"/>
        </w:rPr>
      </w:pPr>
      <w:r>
        <w:rPr>
          <w:rStyle w:val="rvts0"/>
          <w:szCs w:val="28"/>
        </w:rPr>
        <w:t xml:space="preserve">Це зауваження стосується і частини четвертої </w:t>
      </w:r>
      <w:r w:rsidRPr="00A06561">
        <w:t>статті 62 Закону України «Про банки і банківську діяльність» (в редакції проекту)</w:t>
      </w:r>
      <w:r>
        <w:t xml:space="preserve">. </w:t>
      </w:r>
    </w:p>
    <w:p w:rsidR="00A147CC" w:rsidRDefault="00A147CC" w:rsidP="00A147CC">
      <w:pPr>
        <w:ind w:firstLine="567"/>
        <w:rPr>
          <w:rStyle w:val="rvts0"/>
          <w:szCs w:val="28"/>
        </w:rPr>
      </w:pPr>
      <w:r>
        <w:lastRenderedPageBreak/>
        <w:t xml:space="preserve">Крім того, </w:t>
      </w:r>
      <w:r>
        <w:rPr>
          <w:rStyle w:val="rvts0"/>
          <w:szCs w:val="28"/>
        </w:rPr>
        <w:t xml:space="preserve">частиною третьою </w:t>
      </w:r>
      <w:r w:rsidRPr="00A06561">
        <w:t>статті 62 Закону України «Про банки і банківську діяльність» (в редакції проекту)</w:t>
      </w:r>
      <w:r>
        <w:t xml:space="preserve"> передбачено, що «</w:t>
      </w:r>
      <w:r w:rsidRPr="00A06561">
        <w:t>д</w:t>
      </w:r>
      <w:r w:rsidRPr="00A06561">
        <w:rPr>
          <w:rStyle w:val="rvts0"/>
          <w:szCs w:val="28"/>
        </w:rPr>
        <w:t xml:space="preserve">овідки по рахунках (вкладах) у разі смерті їх власників надаються банком особам, зазначеним власником рахунку (вкладу) в </w:t>
      </w:r>
      <w:r w:rsidRPr="00BC586D">
        <w:rPr>
          <w:rStyle w:val="rvts0"/>
          <w:szCs w:val="28"/>
        </w:rPr>
        <w:t>заповідальному розпорядженні банку».</w:t>
      </w:r>
      <w:r>
        <w:rPr>
          <w:rStyle w:val="rvts0"/>
          <w:szCs w:val="28"/>
        </w:rPr>
        <w:t xml:space="preserve"> </w:t>
      </w:r>
    </w:p>
    <w:p w:rsidR="00A147CC" w:rsidRDefault="00A147CC" w:rsidP="00A147CC">
      <w:pPr>
        <w:ind w:firstLine="567"/>
        <w:rPr>
          <w:rStyle w:val="st42"/>
        </w:rPr>
      </w:pPr>
      <w:r>
        <w:rPr>
          <w:rStyle w:val="rvts0"/>
          <w:szCs w:val="28"/>
        </w:rPr>
        <w:t>Разом з тим, це положення потребує узгодження із статтею 1228 Цивільного кодексу України, за якою в</w:t>
      </w:r>
      <w:r>
        <w:rPr>
          <w:rStyle w:val="st42"/>
        </w:rPr>
        <w:t xml:space="preserve">кладник має право розпорядитися правом на вклад у банку (фінансовій установі) на випадок своєї смерті, склавши заповіт або </w:t>
      </w:r>
      <w:r w:rsidRPr="00BC586D">
        <w:rPr>
          <w:rStyle w:val="st42"/>
          <w:u w:val="single"/>
        </w:rPr>
        <w:t>зробивши відповідне розпорядження банку</w:t>
      </w:r>
      <w:r>
        <w:rPr>
          <w:rStyle w:val="st42"/>
        </w:rPr>
        <w:t xml:space="preserve"> (фінансовій установі).</w:t>
      </w:r>
      <w:r w:rsidRPr="00BC586D">
        <w:t xml:space="preserve"> </w:t>
      </w:r>
      <w:r>
        <w:rPr>
          <w:rStyle w:val="st42"/>
        </w:rPr>
        <w:t xml:space="preserve">Заповіт, складений після того, як було зроблене </w:t>
      </w:r>
      <w:r w:rsidRPr="00BC586D">
        <w:rPr>
          <w:rStyle w:val="st42"/>
          <w:u w:val="single"/>
        </w:rPr>
        <w:t>розпорядження банку</w:t>
      </w:r>
      <w:r>
        <w:rPr>
          <w:rStyle w:val="st42"/>
        </w:rPr>
        <w:t xml:space="preserve"> (фінансовій установі), повністю або частково скасовує його... Тобто, норми цієї статті вказують на те, що вкладник має право розпорядитися правом на вклад у банку (фінансовій установі) на випадок своєї смерті шляхом: складення заповіту або здійснення розпорядження банку (фінансовій установі). </w:t>
      </w:r>
    </w:p>
    <w:p w:rsidR="00A147CC" w:rsidRDefault="00A147CC" w:rsidP="00A147CC">
      <w:pPr>
        <w:ind w:firstLine="567"/>
        <w:rPr>
          <w:rStyle w:val="st42"/>
        </w:rPr>
      </w:pPr>
      <w:r>
        <w:rPr>
          <w:rStyle w:val="st42"/>
        </w:rPr>
        <w:t xml:space="preserve">Отже, в проекті мало б йтися про «розпорядження банку», а не «заповідальне розпорядження банку». </w:t>
      </w:r>
    </w:p>
    <w:p w:rsidR="00A147CC" w:rsidRDefault="00A147CC" w:rsidP="00A147CC">
      <w:pPr>
        <w:ind w:firstLine="567"/>
        <w:rPr>
          <w:rStyle w:val="st42"/>
        </w:rPr>
      </w:pPr>
    </w:p>
    <w:p w:rsidR="00A147CC" w:rsidRDefault="00A147CC" w:rsidP="00A147CC">
      <w:pPr>
        <w:ind w:firstLine="567"/>
      </w:pPr>
      <w:r>
        <w:rPr>
          <w:rStyle w:val="st42"/>
        </w:rPr>
        <w:t>3. В ч</w:t>
      </w:r>
      <w:r>
        <w:rPr>
          <w:rStyle w:val="rvts0"/>
          <w:szCs w:val="28"/>
        </w:rPr>
        <w:t xml:space="preserve">астині четвертій </w:t>
      </w:r>
      <w:r w:rsidRPr="00A06561">
        <w:t>статті 62 Закону України «Про банки і банківську діяльність» (в редакції проекту)</w:t>
      </w:r>
      <w:r>
        <w:t xml:space="preserve"> йдеться про «д</w:t>
      </w:r>
      <w:r w:rsidRPr="0019232D">
        <w:t>овідки щодо іншого рухомого майна померлих клієнтів, що перебуває на збереженні та/або у заставі банку в якості закладу</w:t>
      </w:r>
      <w:r>
        <w:t xml:space="preserve">». Однак, зміст юридичної конструкції «інше рухоме майно померлого клієнта» цей проект, а також чинний Закон не розкриває. </w:t>
      </w:r>
    </w:p>
    <w:p w:rsidR="00A147CC" w:rsidRDefault="00A147CC" w:rsidP="00A147CC">
      <w:pPr>
        <w:ind w:firstLine="567"/>
      </w:pPr>
      <w:r>
        <w:t xml:space="preserve">Відтак, </w:t>
      </w:r>
      <w:r w:rsidRPr="0073743D">
        <w:rPr>
          <w:rFonts w:ascii="Times New Roman CYR"/>
          <w:lang w:eastAsia="ru-RU"/>
        </w:rPr>
        <w:t>положення</w:t>
      </w:r>
      <w:r w:rsidRPr="0073743D">
        <w:rPr>
          <w:rFonts w:ascii="Times New Roman CYR"/>
          <w:lang w:eastAsia="ru-RU"/>
        </w:rPr>
        <w:t xml:space="preserve"> </w:t>
      </w:r>
      <w:r>
        <w:rPr>
          <w:rFonts w:ascii="Times New Roman CYR"/>
          <w:lang w:eastAsia="ru-RU"/>
        </w:rPr>
        <w:t>проекту</w:t>
      </w:r>
      <w:r>
        <w:rPr>
          <w:rFonts w:ascii="Times New Roman CYR"/>
          <w:lang w:eastAsia="ru-RU"/>
        </w:rPr>
        <w:t xml:space="preserve"> </w:t>
      </w:r>
      <w:r w:rsidRPr="0073743D">
        <w:t xml:space="preserve">не враховують конституційних приписів щодо чіткості, ясності, зрозумілості закону. Відповідно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 </w:t>
      </w:r>
    </w:p>
    <w:p w:rsidR="00A147CC" w:rsidRDefault="00A147CC" w:rsidP="00A147CC">
      <w:pPr>
        <w:ind w:firstLine="567"/>
      </w:pPr>
      <w:r>
        <w:t xml:space="preserve">Це зауваження стосується і змін до частини четвертої статті 559 Цивільного кодексу України стосовно «моменту пред’явлення вимоги». </w:t>
      </w:r>
    </w:p>
    <w:p w:rsidR="00A147CC" w:rsidRDefault="00A147CC" w:rsidP="00A147CC">
      <w:pPr>
        <w:ind w:firstLine="567"/>
      </w:pPr>
    </w:p>
    <w:p w:rsidR="00A147CC" w:rsidRDefault="00A147CC" w:rsidP="00A147CC">
      <w:pPr>
        <w:ind w:firstLine="567"/>
      </w:pPr>
      <w:r>
        <w:t>4. Пунктом 2 розділу ІІ «Прикінцеві положення» проекту передбачено, що «</w:t>
      </w:r>
      <w:r w:rsidRPr="00412B62">
        <w:t>Цей Закон застосовується до відносин, що виникли після введення його в дію, а також до відносин, що виникли до введення його в дію та продовжують існувати після введення його в дію, крім частини четвертої статті 36 Закону України «Про іпотеку», яка застосовується виключно до договорів, угод, що укладені пі</w:t>
      </w:r>
      <w:r>
        <w:t>сля введення в дію цього Закону».</w:t>
      </w:r>
    </w:p>
    <w:p w:rsidR="00A147CC" w:rsidRDefault="00A147CC" w:rsidP="00A147CC">
      <w:pPr>
        <w:ind w:firstLine="567"/>
      </w:pPr>
      <w:r>
        <w:lastRenderedPageBreak/>
        <w:t xml:space="preserve">Однак, цей положення потребує узгодження із статтею 58 Конституції України, за якою закони та інші нормативно-правові акти не мають зворотної дії в часі, крім випадків, коли вони пом’якшують або скасовують відповідальність особи. </w:t>
      </w:r>
    </w:p>
    <w:p w:rsidR="00A147CC" w:rsidRDefault="00A147CC" w:rsidP="00A147CC">
      <w:pPr>
        <w:ind w:firstLine="567"/>
      </w:pPr>
    </w:p>
    <w:p w:rsidR="00A147CC" w:rsidRDefault="00A147CC" w:rsidP="00A147CC">
      <w:pPr>
        <w:ind w:firstLine="567"/>
        <w:rPr>
          <w:rStyle w:val="st42"/>
        </w:rPr>
      </w:pPr>
      <w:r>
        <w:rPr>
          <w:rFonts w:eastAsia="Calibri"/>
          <w:iCs/>
        </w:rPr>
        <w:t>5. На нашу думку, нова частина п’ята статті 543 Цивільного кодексу України (в редакції проекту), за якою «л</w:t>
      </w:r>
      <w:r w:rsidRPr="0019232D">
        <w:t>іквідація солідарного боржника-юридичної особи, смерть солідарного боржника-фізичної особи не припиняють обов’язку решти солідарних боржників перед кредитором та не змінюють його обсягу і умов виконання</w:t>
      </w:r>
      <w:r w:rsidR="00B028FA">
        <w:t>», є юридично не</w:t>
      </w:r>
      <w:r>
        <w:t>коректною, оскільки ця вимога слідує із змісту солідарної відповідальності. Крім того, частиною другою статті 543 Цивільного кодексу України встановлено, що с</w:t>
      </w:r>
      <w:r>
        <w:rPr>
          <w:rStyle w:val="st42"/>
        </w:rPr>
        <w:t>олідарні боржники залишаються зобов'язаними доти, доки їхній обов'</w:t>
      </w:r>
      <w:bookmarkStart w:id="0" w:name="_GoBack"/>
      <w:bookmarkEnd w:id="0"/>
      <w:r>
        <w:rPr>
          <w:rStyle w:val="st42"/>
        </w:rPr>
        <w:t>язок не буде виконаний у повному обсязі.</w:t>
      </w:r>
    </w:p>
    <w:p w:rsidR="00A147CC" w:rsidRDefault="00A147CC" w:rsidP="00A147CC">
      <w:pPr>
        <w:ind w:firstLine="567"/>
        <w:rPr>
          <w:rFonts w:eastAsia="Calibri"/>
          <w:iCs/>
        </w:rPr>
      </w:pPr>
    </w:p>
    <w:p w:rsidR="00A147CC" w:rsidRDefault="00A147CC" w:rsidP="00A147CC">
      <w:pPr>
        <w:ind w:firstLine="567"/>
        <w:rPr>
          <w:lang w:eastAsia="uk-UA"/>
        </w:rPr>
      </w:pPr>
      <w:r>
        <w:rPr>
          <w:rFonts w:eastAsia="Calibri"/>
          <w:iCs/>
        </w:rPr>
        <w:t>6. Змінами до статті 5 Закону України «Про іпотеку» передбачено, що у</w:t>
      </w:r>
      <w:r w:rsidRPr="0019232D">
        <w:rPr>
          <w:lang w:eastAsia="uk-UA"/>
        </w:rPr>
        <w:t xml:space="preserve"> разі, якщо </w:t>
      </w:r>
      <w:proofErr w:type="spellStart"/>
      <w:r w:rsidRPr="0019232D">
        <w:rPr>
          <w:lang w:eastAsia="uk-UA"/>
        </w:rPr>
        <w:t>іпотекодавцем</w:t>
      </w:r>
      <w:proofErr w:type="spellEnd"/>
      <w:r w:rsidRPr="0019232D">
        <w:rPr>
          <w:lang w:eastAsia="uk-UA"/>
        </w:rPr>
        <w:t xml:space="preserve"> предмет іпотеки було реконструйовано або щодо нього було проведено самочинне будівництво (в тому числі, але не виключно, споруджено нові будівлі, споруди тощо, на земельній ділянці, яка належить </w:t>
      </w:r>
      <w:proofErr w:type="spellStart"/>
      <w:r w:rsidRPr="0019232D">
        <w:rPr>
          <w:lang w:eastAsia="uk-UA"/>
        </w:rPr>
        <w:t>іпотекодавцю</w:t>
      </w:r>
      <w:proofErr w:type="spellEnd"/>
      <w:r w:rsidRPr="0019232D">
        <w:rPr>
          <w:lang w:eastAsia="uk-UA"/>
        </w:rPr>
        <w:t xml:space="preserve"> на праві власності</w:t>
      </w:r>
      <w:r w:rsidRPr="0019232D">
        <w:t xml:space="preserve"> </w:t>
      </w:r>
      <w:r w:rsidRPr="00B37228">
        <w:t>чи перебуває в його користуванні</w:t>
      </w:r>
      <w:r w:rsidRPr="0019232D">
        <w:rPr>
          <w:lang w:eastAsia="uk-UA"/>
        </w:rPr>
        <w:t>), всі реконструйовані, новостворені об’єкти нерухомості вважаються предметом іпотеки відповідно до іпотечного договору</w:t>
      </w:r>
      <w:r>
        <w:rPr>
          <w:lang w:eastAsia="uk-UA"/>
        </w:rPr>
        <w:t xml:space="preserve">. </w:t>
      </w:r>
    </w:p>
    <w:p w:rsidR="00B028FA" w:rsidRDefault="00B028FA" w:rsidP="00A147CC">
      <w:pPr>
        <w:ind w:firstLine="567"/>
        <w:rPr>
          <w:lang w:eastAsia="uk-UA"/>
        </w:rPr>
      </w:pPr>
      <w:r>
        <w:rPr>
          <w:lang w:eastAsia="uk-UA"/>
        </w:rPr>
        <w:t xml:space="preserve">На нашу думку, це положення є алогічним з огляду на те, що правовірним власником самочинної будівлі (споруди, об’єкту тощо) може бути третя особа, наприклад, за інвестиційним договором на придбання житла. </w:t>
      </w:r>
    </w:p>
    <w:p w:rsidR="00A147CC" w:rsidRDefault="00B028FA" w:rsidP="00A147CC">
      <w:pPr>
        <w:ind w:firstLine="567"/>
        <w:rPr>
          <w:rFonts w:eastAsia="Calibri"/>
          <w:iCs/>
        </w:rPr>
      </w:pPr>
      <w:r>
        <w:rPr>
          <w:lang w:eastAsia="uk-UA"/>
        </w:rPr>
        <w:t>Крім того</w:t>
      </w:r>
      <w:r w:rsidR="00A147CC">
        <w:rPr>
          <w:lang w:eastAsia="uk-UA"/>
        </w:rPr>
        <w:t xml:space="preserve">, </w:t>
      </w:r>
      <w:r>
        <w:rPr>
          <w:lang w:eastAsia="uk-UA"/>
        </w:rPr>
        <w:t>зазначене</w:t>
      </w:r>
      <w:r w:rsidR="00A147CC">
        <w:rPr>
          <w:lang w:eastAsia="uk-UA"/>
        </w:rPr>
        <w:t xml:space="preserve"> положення проекту не узгоджується із статтею 376 Цивільного кодексу України, оскільки ж</w:t>
      </w:r>
      <w:r w:rsidR="00A147CC">
        <w:rPr>
          <w:rStyle w:val="st42"/>
        </w:rPr>
        <w:t xml:space="preserve">итловий будинок, будівля, споруда, інше нерухоме майно вважаються самочинним будівництвом, якщо вони збудовані або будуються на земельній ділянці, що не була відведена для цієї мети, або без відповідного документа, який дає право виконувати будівельні роботи чи належно затвердженого проекту, або з істотними порушеннями будівельних норм і правил. </w:t>
      </w:r>
    </w:p>
    <w:p w:rsidR="00A147CC" w:rsidRDefault="00B028FA" w:rsidP="00A147CC">
      <w:pPr>
        <w:ind w:firstLine="567"/>
        <w:rPr>
          <w:rFonts w:eastAsia="Calibri"/>
          <w:iCs/>
        </w:rPr>
      </w:pPr>
      <w:r>
        <w:rPr>
          <w:rFonts w:eastAsia="Calibri"/>
          <w:iCs/>
        </w:rPr>
        <w:t>З</w:t>
      </w:r>
      <w:r w:rsidR="00A147CC">
        <w:rPr>
          <w:rFonts w:eastAsia="Calibri"/>
          <w:iCs/>
        </w:rPr>
        <w:t xml:space="preserve">вертаємо </w:t>
      </w:r>
      <w:r>
        <w:rPr>
          <w:rFonts w:eastAsia="Calibri"/>
          <w:iCs/>
        </w:rPr>
        <w:t xml:space="preserve">також </w:t>
      </w:r>
      <w:r w:rsidR="00A147CC">
        <w:rPr>
          <w:rFonts w:eastAsia="Calibri"/>
          <w:iCs/>
        </w:rPr>
        <w:t>увагу на те, що</w:t>
      </w:r>
      <w:r w:rsidR="00A147CC">
        <w:rPr>
          <w:rFonts w:eastAsia="Calibri"/>
        </w:rPr>
        <w:t xml:space="preserve"> згідно із частиною третьою статті </w:t>
      </w:r>
      <w:r>
        <w:rPr>
          <w:rFonts w:eastAsia="Calibri"/>
        </w:rPr>
        <w:t>376 Цивільного к</w:t>
      </w:r>
      <w:r w:rsidR="00A147CC">
        <w:rPr>
          <w:rFonts w:eastAsia="Calibri"/>
        </w:rPr>
        <w:t xml:space="preserve">одексу </w:t>
      </w:r>
      <w:r>
        <w:rPr>
          <w:rFonts w:eastAsia="Calibri"/>
        </w:rPr>
        <w:t xml:space="preserve">України </w:t>
      </w:r>
      <w:r w:rsidR="00A147CC">
        <w:rPr>
          <w:rFonts w:eastAsia="Calibri"/>
        </w:rPr>
        <w:t>п</w:t>
      </w:r>
      <w:r w:rsidR="00A147CC">
        <w:rPr>
          <w:rStyle w:val="st42"/>
        </w:rPr>
        <w:t xml:space="preserve">раво власності на самочинно збудоване нерухоме майно може бути за рішенням суду визнане за особою, яка здійснила самочинне будівництво на земельній ділянці … за умови надання земельної ділянки у встановленому порядку особі під уже збудоване нерухоме майно. Якщо власник (користувач) земельної ділянки заперечує проти визнання права власності на нерухоме майно за особою, яка здійснила (здійснює) самочинне будівництво на його земельній ділянці, або якщо це порушує права інших осіб, майно підлягає знесенню… (частина четверта статті 376 ЦК). Крім того, за частиною п’ятою цієї статті Кодексу на вимогу власника (користувача) земельної ділянки суд може </w:t>
      </w:r>
      <w:r w:rsidR="00A147CC">
        <w:rPr>
          <w:rStyle w:val="st42"/>
        </w:rPr>
        <w:lastRenderedPageBreak/>
        <w:t>визнати за ним право власності на нерухоме майно, яке самочинно збудоване на ній, якщо це не порушує права інших осіб.</w:t>
      </w:r>
    </w:p>
    <w:p w:rsidR="00B028FA" w:rsidRDefault="00B028FA" w:rsidP="00A147CC">
      <w:pPr>
        <w:ind w:firstLine="567"/>
        <w:rPr>
          <w:rFonts w:eastAsia="Calibri"/>
          <w:iCs/>
        </w:rPr>
      </w:pPr>
    </w:p>
    <w:p w:rsidR="00A147CC" w:rsidRDefault="00A147CC" w:rsidP="00A147CC">
      <w:pPr>
        <w:ind w:firstLine="567"/>
        <w:rPr>
          <w:rFonts w:eastAsia="Calibri"/>
          <w:iCs/>
        </w:rPr>
      </w:pPr>
      <w:r>
        <w:rPr>
          <w:rFonts w:eastAsia="Calibri"/>
          <w:iCs/>
        </w:rPr>
        <w:t xml:space="preserve">Проект потребує техніко-юридичного доопрацювання. </w:t>
      </w:r>
    </w:p>
    <w:p w:rsidR="00A147CC" w:rsidRDefault="00A147CC" w:rsidP="00A147CC">
      <w:pPr>
        <w:ind w:firstLine="567"/>
        <w:rPr>
          <w:rFonts w:eastAsia="Calibri"/>
          <w:iCs/>
        </w:rPr>
      </w:pPr>
    </w:p>
    <w:p w:rsidR="00A147CC" w:rsidRPr="00597FF1" w:rsidRDefault="00A147CC" w:rsidP="00A147CC">
      <w:pPr>
        <w:pStyle w:val="a3"/>
      </w:pPr>
    </w:p>
    <w:p w:rsidR="00A147CC" w:rsidRPr="00A147CC" w:rsidRDefault="00A147CC" w:rsidP="00A147CC">
      <w:pPr>
        <w:pStyle w:val="a3"/>
        <w:jc w:val="both"/>
        <w:rPr>
          <w:b/>
          <w:lang w:eastAsia="ru-RU"/>
        </w:rPr>
      </w:pPr>
      <w:r w:rsidRPr="00A147CC">
        <w:rPr>
          <w:b/>
          <w:lang w:eastAsia="ru-RU"/>
        </w:rPr>
        <w:t xml:space="preserve">Заступник </w:t>
      </w:r>
      <w:proofErr w:type="spellStart"/>
      <w:r w:rsidRPr="00A147CC">
        <w:rPr>
          <w:b/>
          <w:lang w:eastAsia="ru-RU"/>
        </w:rPr>
        <w:t>Керівника</w:t>
      </w:r>
      <w:proofErr w:type="spellEnd"/>
    </w:p>
    <w:p w:rsidR="00A147CC" w:rsidRPr="00A147CC" w:rsidRDefault="00A147CC" w:rsidP="00A147CC">
      <w:pPr>
        <w:pStyle w:val="a3"/>
        <w:jc w:val="both"/>
        <w:rPr>
          <w:b/>
        </w:rPr>
      </w:pPr>
      <w:r w:rsidRPr="00A147CC">
        <w:rPr>
          <w:b/>
          <w:lang w:eastAsia="ru-RU"/>
        </w:rPr>
        <w:t xml:space="preserve">Головного </w:t>
      </w:r>
      <w:proofErr w:type="spellStart"/>
      <w:r w:rsidRPr="00A147CC">
        <w:rPr>
          <w:b/>
          <w:lang w:eastAsia="ru-RU"/>
        </w:rPr>
        <w:t>управління</w:t>
      </w:r>
      <w:proofErr w:type="spellEnd"/>
      <w:r w:rsidRPr="00A147CC">
        <w:rPr>
          <w:b/>
          <w:lang w:eastAsia="ru-RU"/>
        </w:rPr>
        <w:t xml:space="preserve"> </w:t>
      </w:r>
      <w:r w:rsidRPr="00A147CC">
        <w:rPr>
          <w:b/>
          <w:lang w:eastAsia="ru-RU"/>
        </w:rPr>
        <w:tab/>
      </w:r>
      <w:r w:rsidRPr="00A147CC">
        <w:rPr>
          <w:b/>
          <w:lang w:eastAsia="ru-RU"/>
        </w:rPr>
        <w:tab/>
      </w:r>
      <w:r w:rsidRPr="00A147CC">
        <w:rPr>
          <w:b/>
          <w:lang w:eastAsia="ru-RU"/>
        </w:rPr>
        <w:tab/>
      </w:r>
      <w:r w:rsidRPr="00A147CC">
        <w:rPr>
          <w:b/>
          <w:lang w:eastAsia="ru-RU"/>
        </w:rPr>
        <w:tab/>
      </w:r>
      <w:r w:rsidRPr="00A147CC">
        <w:rPr>
          <w:b/>
          <w:lang w:eastAsia="ru-RU"/>
        </w:rPr>
        <w:tab/>
        <w:t xml:space="preserve">                В.МІЛОВАНОВ</w:t>
      </w:r>
    </w:p>
    <w:p w:rsidR="00B60FCA" w:rsidRPr="00A147CC" w:rsidRDefault="00B60FCA" w:rsidP="00A147CC">
      <w:pPr>
        <w:ind w:firstLine="567"/>
        <w:rPr>
          <w:lang w:val="ru-RU"/>
        </w:rPr>
      </w:pPr>
    </w:p>
    <w:sectPr w:rsidR="00B60FCA" w:rsidRPr="00A147CC" w:rsidSect="00A147CC">
      <w:footerReference w:type="default" r:id="rId6"/>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7CC" w:rsidRDefault="00A147CC" w:rsidP="00A147CC">
      <w:pPr>
        <w:spacing w:after="0"/>
      </w:pPr>
      <w:r>
        <w:separator/>
      </w:r>
    </w:p>
  </w:endnote>
  <w:endnote w:type="continuationSeparator" w:id="0">
    <w:p w:rsidR="00A147CC" w:rsidRDefault="00A147CC" w:rsidP="00A147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350090"/>
      <w:docPartObj>
        <w:docPartGallery w:val="Page Numbers (Bottom of Page)"/>
        <w:docPartUnique/>
      </w:docPartObj>
    </w:sdtPr>
    <w:sdtEndPr/>
    <w:sdtContent>
      <w:p w:rsidR="00A147CC" w:rsidRDefault="00A147CC">
        <w:pPr>
          <w:pStyle w:val="a6"/>
          <w:jc w:val="right"/>
        </w:pPr>
        <w:r>
          <w:fldChar w:fldCharType="begin"/>
        </w:r>
        <w:r>
          <w:instrText>PAGE   \* MERGEFORMAT</w:instrText>
        </w:r>
        <w:r>
          <w:fldChar w:fldCharType="separate"/>
        </w:r>
        <w:r w:rsidR="009B1F5E">
          <w:rPr>
            <w:noProof/>
          </w:rPr>
          <w:t>3</w:t>
        </w:r>
        <w:r>
          <w:fldChar w:fldCharType="end"/>
        </w:r>
      </w:p>
    </w:sdtContent>
  </w:sdt>
  <w:p w:rsidR="00A147CC" w:rsidRDefault="00A147C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7CC" w:rsidRDefault="00A147CC" w:rsidP="00A147CC">
      <w:pPr>
        <w:spacing w:after="0"/>
      </w:pPr>
      <w:r>
        <w:separator/>
      </w:r>
    </w:p>
  </w:footnote>
  <w:footnote w:type="continuationSeparator" w:id="0">
    <w:p w:rsidR="00A147CC" w:rsidRDefault="00A147CC" w:rsidP="00A147C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7CC"/>
    <w:rsid w:val="00893B43"/>
    <w:rsid w:val="009269D3"/>
    <w:rsid w:val="009B1F5E"/>
    <w:rsid w:val="00A147CC"/>
    <w:rsid w:val="00B028FA"/>
    <w:rsid w:val="00B60F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C79D"/>
  <w15:chartTrackingRefBased/>
  <w15:docId w15:val="{242B3905-730A-44CE-B35E-E1235A7D6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7CC"/>
  </w:style>
  <w:style w:type="paragraph" w:styleId="2">
    <w:name w:val="heading 2"/>
    <w:basedOn w:val="a"/>
    <w:next w:val="a"/>
    <w:link w:val="20"/>
    <w:uiPriority w:val="9"/>
    <w:unhideWhenUsed/>
    <w:qFormat/>
    <w:rsid w:val="00A147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A147CC"/>
    <w:pPr>
      <w:spacing w:after="60" w:line="220" w:lineRule="exact"/>
      <w:ind w:firstLine="284"/>
    </w:pPr>
    <w:rPr>
      <w:rFonts w:eastAsia="Times New Roman" w:cs="Times New Roman"/>
      <w:sz w:val="20"/>
      <w:szCs w:val="20"/>
      <w:lang w:eastAsia="ru-RU"/>
    </w:rPr>
  </w:style>
  <w:style w:type="character" w:customStyle="1" w:styleId="rvts0">
    <w:name w:val="rvts0"/>
    <w:rsid w:val="00A147CC"/>
  </w:style>
  <w:style w:type="character" w:customStyle="1" w:styleId="st42">
    <w:name w:val="st42"/>
    <w:uiPriority w:val="99"/>
    <w:rsid w:val="00A147CC"/>
    <w:rPr>
      <w:rFonts w:ascii="Times New Roman" w:hAnsi="Times New Roman" w:cs="Times New Roman"/>
      <w:color w:val="000000"/>
    </w:rPr>
  </w:style>
  <w:style w:type="paragraph" w:styleId="a3">
    <w:name w:val="No Spacing"/>
    <w:uiPriority w:val="99"/>
    <w:qFormat/>
    <w:rsid w:val="00A147CC"/>
    <w:pPr>
      <w:spacing w:after="0"/>
      <w:jc w:val="left"/>
    </w:pPr>
    <w:rPr>
      <w:rFonts w:eastAsia="Calibri" w:cs="Times New Roman"/>
      <w:lang w:val="ru-RU"/>
    </w:rPr>
  </w:style>
  <w:style w:type="character" w:customStyle="1" w:styleId="20">
    <w:name w:val="Заголовок 2 Знак"/>
    <w:basedOn w:val="a0"/>
    <w:link w:val="2"/>
    <w:uiPriority w:val="9"/>
    <w:rsid w:val="00A147CC"/>
    <w:rPr>
      <w:rFonts w:asciiTheme="majorHAnsi" w:eastAsiaTheme="majorEastAsia" w:hAnsiTheme="majorHAnsi" w:cstheme="majorBidi"/>
      <w:color w:val="2E74B5" w:themeColor="accent1" w:themeShade="BF"/>
      <w:sz w:val="26"/>
      <w:szCs w:val="26"/>
    </w:rPr>
  </w:style>
  <w:style w:type="paragraph" w:styleId="a4">
    <w:name w:val="header"/>
    <w:basedOn w:val="a"/>
    <w:link w:val="a5"/>
    <w:uiPriority w:val="99"/>
    <w:unhideWhenUsed/>
    <w:rsid w:val="00A147CC"/>
    <w:pPr>
      <w:tabs>
        <w:tab w:val="center" w:pos="4819"/>
        <w:tab w:val="right" w:pos="9639"/>
      </w:tabs>
      <w:spacing w:after="0"/>
    </w:pPr>
  </w:style>
  <w:style w:type="character" w:customStyle="1" w:styleId="a5">
    <w:name w:val="Верхній колонтитул Знак"/>
    <w:basedOn w:val="a0"/>
    <w:link w:val="a4"/>
    <w:uiPriority w:val="99"/>
    <w:rsid w:val="00A147CC"/>
  </w:style>
  <w:style w:type="paragraph" w:styleId="a6">
    <w:name w:val="footer"/>
    <w:basedOn w:val="a"/>
    <w:link w:val="a7"/>
    <w:uiPriority w:val="99"/>
    <w:unhideWhenUsed/>
    <w:rsid w:val="00A147CC"/>
    <w:pPr>
      <w:tabs>
        <w:tab w:val="center" w:pos="4819"/>
        <w:tab w:val="right" w:pos="9639"/>
      </w:tabs>
      <w:spacing w:after="0"/>
    </w:pPr>
  </w:style>
  <w:style w:type="character" w:customStyle="1" w:styleId="a7">
    <w:name w:val="Нижній колонтитул Знак"/>
    <w:basedOn w:val="a0"/>
    <w:link w:val="a6"/>
    <w:uiPriority w:val="99"/>
    <w:rsid w:val="00A147CC"/>
  </w:style>
  <w:style w:type="paragraph" w:styleId="a8">
    <w:name w:val="Balloon Text"/>
    <w:basedOn w:val="a"/>
    <w:link w:val="a9"/>
    <w:uiPriority w:val="99"/>
    <w:semiHidden/>
    <w:unhideWhenUsed/>
    <w:rsid w:val="00A147CC"/>
    <w:pPr>
      <w:spacing w:after="0"/>
    </w:pPr>
    <w:rPr>
      <w:rFonts w:ascii="Segoe UI" w:hAnsi="Segoe UI" w:cs="Segoe UI"/>
      <w:sz w:val="18"/>
      <w:szCs w:val="18"/>
    </w:rPr>
  </w:style>
  <w:style w:type="character" w:customStyle="1" w:styleId="a9">
    <w:name w:val="Текст у виносці Знак"/>
    <w:basedOn w:val="a0"/>
    <w:link w:val="a8"/>
    <w:uiPriority w:val="99"/>
    <w:semiHidden/>
    <w:rsid w:val="00A147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6417</Words>
  <Characters>3658</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3</cp:revision>
  <cp:lastPrinted>2018-06-20T15:04:00Z</cp:lastPrinted>
  <dcterms:created xsi:type="dcterms:W3CDTF">2018-06-20T12:51:00Z</dcterms:created>
  <dcterms:modified xsi:type="dcterms:W3CDTF">2018-06-20T15:06:00Z</dcterms:modified>
</cp:coreProperties>
</file>