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CA5" w:rsidRPr="00AD1CA5" w:rsidRDefault="00AD1CA5" w:rsidP="00AD1CA5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 реєстр. № 7089</w:t>
      </w:r>
    </w:p>
    <w:p w:rsidR="00AD1CA5" w:rsidRPr="00AD1CA5" w:rsidRDefault="00AD1CA5" w:rsidP="00AD1CA5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 7 вересня</w:t>
      </w:r>
      <w:bookmarkStart w:id="0" w:name="_GoBack"/>
      <w:bookmarkEnd w:id="0"/>
      <w:r w:rsidRPr="00AD1CA5">
        <w:rPr>
          <w:sz w:val="28"/>
          <w:szCs w:val="28"/>
          <w:lang w:eastAsia="ru-RU"/>
        </w:rPr>
        <w:t xml:space="preserve"> 2017 року</w:t>
      </w:r>
    </w:p>
    <w:p w:rsidR="00AD1CA5" w:rsidRPr="00AD1CA5" w:rsidRDefault="00AD1CA5" w:rsidP="00AD1CA5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AD1CA5" w:rsidRPr="00AD1CA5" w:rsidRDefault="00AD1CA5" w:rsidP="00AD1CA5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AD1CA5" w:rsidRPr="00AD1CA5" w:rsidRDefault="00AD1CA5" w:rsidP="00AD1CA5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AD1CA5">
        <w:rPr>
          <w:b/>
          <w:bCs/>
          <w:sz w:val="28"/>
          <w:szCs w:val="28"/>
          <w:lang w:eastAsia="ru-RU"/>
        </w:rPr>
        <w:t>ВИСНОВОК</w:t>
      </w:r>
    </w:p>
    <w:p w:rsidR="00AD1CA5" w:rsidRPr="00AD1CA5" w:rsidRDefault="00AD1CA5" w:rsidP="00AD1CA5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AD1CA5" w:rsidRPr="00AD1CA5" w:rsidRDefault="00AD1CA5" w:rsidP="00AD1CA5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AD1CA5">
        <w:rPr>
          <w:b/>
          <w:sz w:val="28"/>
          <w:szCs w:val="28"/>
          <w:lang w:eastAsia="ru-RU"/>
        </w:rPr>
        <w:t>Комітету Верховної Ради України</w:t>
      </w:r>
    </w:p>
    <w:p w:rsidR="00AD1CA5" w:rsidRPr="00AD1CA5" w:rsidRDefault="00AD1CA5" w:rsidP="00AD1CA5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AD1CA5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7B0C15" w:rsidRPr="008E18B3" w:rsidRDefault="007B0C15" w:rsidP="007B0C15">
      <w:pPr>
        <w:tabs>
          <w:tab w:val="left" w:pos="3450"/>
        </w:tabs>
        <w:jc w:val="center"/>
        <w:rPr>
          <w:b/>
          <w:szCs w:val="28"/>
        </w:rPr>
      </w:pPr>
    </w:p>
    <w:p w:rsidR="007B0C15" w:rsidRPr="007B0C15" w:rsidRDefault="007B0C15" w:rsidP="007B0C15">
      <w:pPr>
        <w:suppressAutoHyphens w:val="0"/>
        <w:ind w:firstLine="539"/>
        <w:jc w:val="center"/>
        <w:rPr>
          <w:rFonts w:eastAsiaTheme="minorHAnsi" w:cstheme="minorBidi"/>
          <w:b/>
          <w:bCs/>
          <w:sz w:val="28"/>
          <w:szCs w:val="28"/>
          <w:lang w:val="ru-RU" w:eastAsia="uk-UA"/>
        </w:rPr>
      </w:pPr>
      <w:r w:rsidRPr="007B0C15">
        <w:rPr>
          <w:b/>
          <w:sz w:val="28"/>
          <w:szCs w:val="28"/>
        </w:rPr>
        <w:t xml:space="preserve">щодо </w:t>
      </w:r>
      <w:r w:rsidRPr="007B0C15">
        <w:rPr>
          <w:rFonts w:eastAsiaTheme="minorHAnsi" w:cstheme="minorBidi"/>
          <w:b/>
          <w:sz w:val="28"/>
          <w:szCs w:val="28"/>
          <w:lang w:eastAsia="en-US"/>
        </w:rPr>
        <w:t>проекту З</w:t>
      </w:r>
      <w:r w:rsidRPr="007B0C15">
        <w:rPr>
          <w:rFonts w:eastAsiaTheme="minorHAnsi" w:cstheme="minorBidi"/>
          <w:b/>
          <w:bCs/>
          <w:sz w:val="28"/>
          <w:szCs w:val="28"/>
          <w:lang w:eastAsia="uk-UA"/>
        </w:rPr>
        <w:t>акону України</w:t>
      </w:r>
    </w:p>
    <w:p w:rsidR="007B0C15" w:rsidRPr="007B0C15" w:rsidRDefault="007B0C15" w:rsidP="007B0C15">
      <w:pPr>
        <w:suppressAutoHyphens w:val="0"/>
        <w:ind w:firstLine="539"/>
        <w:jc w:val="center"/>
        <w:rPr>
          <w:rFonts w:eastAsiaTheme="minorHAnsi" w:cstheme="minorBidi"/>
          <w:b/>
          <w:bCs/>
          <w:sz w:val="28"/>
          <w:szCs w:val="28"/>
          <w:lang w:eastAsia="uk-UA"/>
        </w:rPr>
      </w:pPr>
      <w:r w:rsidRPr="007B0C15">
        <w:rPr>
          <w:rFonts w:eastAsiaTheme="minorHAnsi" w:cstheme="minorBidi"/>
          <w:b/>
          <w:bCs/>
          <w:sz w:val="28"/>
          <w:szCs w:val="28"/>
          <w:lang w:eastAsia="uk-UA"/>
        </w:rPr>
        <w:t>про внесення змін до Кримінального процесуального кодексу України щодо приведення порядку застосування запобіжних заходів у відповідність з практикою Європейського суду з прав людини</w:t>
      </w:r>
    </w:p>
    <w:p w:rsidR="007B0C15" w:rsidRPr="007B0C15" w:rsidRDefault="007B0C15" w:rsidP="007B0C15">
      <w:pPr>
        <w:jc w:val="center"/>
        <w:rPr>
          <w:b/>
          <w:sz w:val="28"/>
          <w:szCs w:val="28"/>
        </w:rPr>
      </w:pPr>
      <w:r w:rsidRPr="007B0C15">
        <w:rPr>
          <w:b/>
          <w:sz w:val="28"/>
          <w:szCs w:val="28"/>
        </w:rPr>
        <w:t>(реєстр. № 7089 від 07 вересня 2017 року)</w:t>
      </w:r>
    </w:p>
    <w:p w:rsidR="007B0C15" w:rsidRPr="007B0C15" w:rsidRDefault="007B0C15" w:rsidP="007B0C15">
      <w:pPr>
        <w:jc w:val="center"/>
        <w:rPr>
          <w:sz w:val="28"/>
          <w:szCs w:val="28"/>
        </w:rPr>
      </w:pPr>
    </w:p>
    <w:p w:rsidR="007B0C15" w:rsidRPr="007B0C15" w:rsidRDefault="007B0C15" w:rsidP="007B0C15">
      <w:pPr>
        <w:suppressAutoHyphens w:val="0"/>
        <w:ind w:firstLine="709"/>
        <w:jc w:val="both"/>
        <w:rPr>
          <w:bCs/>
          <w:sz w:val="28"/>
          <w:szCs w:val="28"/>
          <w:lang w:eastAsia="uk-UA"/>
        </w:rPr>
      </w:pPr>
      <w:r w:rsidRPr="007B0C15">
        <w:rPr>
          <w:bCs/>
          <w:sz w:val="28"/>
          <w:szCs w:val="28"/>
          <w:lang w:eastAsia="uk-UA"/>
        </w:rPr>
        <w:t xml:space="preserve">Комітет Верховної Ради України з питань правової політики та правосуддя розглянув </w:t>
      </w:r>
      <w:r>
        <w:rPr>
          <w:bCs/>
          <w:sz w:val="28"/>
          <w:szCs w:val="28"/>
          <w:lang w:eastAsia="uk-UA"/>
        </w:rPr>
        <w:t>на своєму засіданні 28 лютого 2018 року (протокол №67)</w:t>
      </w:r>
      <w:r w:rsidRPr="007B0C15">
        <w:rPr>
          <w:bCs/>
          <w:sz w:val="28"/>
          <w:szCs w:val="28"/>
          <w:lang w:eastAsia="uk-UA"/>
        </w:rPr>
        <w:t xml:space="preserve"> на відповідність Конституції України </w:t>
      </w:r>
      <w:r w:rsidRPr="007B0C15">
        <w:rPr>
          <w:rFonts w:eastAsiaTheme="minorHAnsi" w:cstheme="minorBidi"/>
          <w:sz w:val="28"/>
          <w:szCs w:val="28"/>
          <w:lang w:eastAsia="en-US"/>
        </w:rPr>
        <w:t>проект З</w:t>
      </w:r>
      <w:r w:rsidRPr="007B0C15">
        <w:rPr>
          <w:rFonts w:eastAsiaTheme="minorHAnsi" w:cstheme="minorBidi"/>
          <w:bCs/>
          <w:sz w:val="28"/>
          <w:szCs w:val="28"/>
          <w:lang w:eastAsia="uk-UA"/>
        </w:rPr>
        <w:t>акону України про внесення змін до Кримінального процесуального кодексу України щодо приведення порядку застосування запобіжних заходів у відповідність з практикою Європейського суду з прав людини  (реєстр. № 7089 від 07 вересня 2017 року), поданий Кабінетом Міністрів України</w:t>
      </w:r>
      <w:r w:rsidRPr="007B0C15">
        <w:rPr>
          <w:bCs/>
          <w:sz w:val="28"/>
          <w:szCs w:val="28"/>
          <w:lang w:eastAsia="uk-UA"/>
        </w:rPr>
        <w:t xml:space="preserve"> (далі - Законопроект).</w:t>
      </w:r>
    </w:p>
    <w:p w:rsidR="007B0C15" w:rsidRPr="007B0C15" w:rsidRDefault="007B0C15" w:rsidP="007B0C15">
      <w:pPr>
        <w:suppressAutoHyphens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B0C15">
        <w:rPr>
          <w:sz w:val="28"/>
          <w:szCs w:val="28"/>
        </w:rPr>
        <w:t>Згідно з пояснювальною запискою до Законопроекту його метою є</w:t>
      </w:r>
      <w:r w:rsidRPr="007B0C15">
        <w:rPr>
          <w:rFonts w:eastAsiaTheme="minorHAnsi"/>
          <w:sz w:val="28"/>
          <w:szCs w:val="28"/>
          <w:lang w:eastAsia="en-US"/>
        </w:rPr>
        <w:t xml:space="preserve"> </w:t>
      </w:r>
      <w:r w:rsidRPr="007B0C1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усунення недоліків кримінального процесуального законодавства, що лежать в основі системних порушень </w:t>
      </w:r>
      <w:r w:rsidRPr="007B0C15">
        <w:rPr>
          <w:rFonts w:eastAsiaTheme="minorHAnsi"/>
          <w:color w:val="000000"/>
          <w:sz w:val="28"/>
          <w:szCs w:val="28"/>
          <w:lang w:eastAsia="en-US"/>
        </w:rPr>
        <w:t>Конвенції про захист прав людини і основоположних свобод.</w:t>
      </w:r>
    </w:p>
    <w:p w:rsidR="007B0C15" w:rsidRPr="007B0C15" w:rsidRDefault="007B0C15" w:rsidP="007B0C15">
      <w:pPr>
        <w:suppressAutoHyphens w:val="0"/>
        <w:ind w:firstLine="709"/>
        <w:jc w:val="both"/>
        <w:rPr>
          <w:sz w:val="28"/>
          <w:szCs w:val="28"/>
          <w:lang w:eastAsia="uk-UA"/>
        </w:rPr>
      </w:pPr>
      <w:r w:rsidRPr="007B0C15">
        <w:rPr>
          <w:rFonts w:eastAsiaTheme="minorHAnsi"/>
          <w:color w:val="000000"/>
          <w:sz w:val="28"/>
          <w:szCs w:val="28"/>
          <w:lang w:eastAsia="en-US"/>
        </w:rPr>
        <w:t xml:space="preserve">Для досягнення мети суб’єктом права законодавчої ініціативи пропонується </w:t>
      </w:r>
      <w:r w:rsidRPr="007B0C15">
        <w:rPr>
          <w:sz w:val="28"/>
          <w:szCs w:val="28"/>
          <w:lang w:eastAsia="uk-UA"/>
        </w:rPr>
        <w:t xml:space="preserve">доповнити статтю 176 Кримінального процесуального кодексу України (далі - КПК) частиною шостою, якою встановити, що суд касаційної інстанції під час вирішення питання про скасування рішення суду, що набрало законної сили, і направлення справи на новий розгляд до суду першої або апеляційної інстанції, який ухвалив оскаржуване судове рішення, може вирішити питання щодо обрання особі запобіжного заходу в порядку, передбаченому для обвинуваченого. Частиною третьою статті 331 КПК в редакції Законопроекту закріпити, що </w:t>
      </w:r>
      <w:r w:rsidRPr="007B0C15">
        <w:rPr>
          <w:color w:val="000000"/>
          <w:sz w:val="28"/>
          <w:szCs w:val="28"/>
          <w:lang w:eastAsia="uk-UA"/>
        </w:rPr>
        <w:t xml:space="preserve">за наявності клопотань  суд зобов’язаний </w:t>
      </w:r>
      <w:r w:rsidRPr="007B0C15">
        <w:rPr>
          <w:color w:val="000000"/>
          <w:sz w:val="28"/>
          <w:szCs w:val="28"/>
          <w:shd w:val="clear" w:color="auto" w:fill="FFFFFF"/>
          <w:lang w:eastAsia="uk-UA"/>
        </w:rPr>
        <w:t>розглянути питання доцільності продовження запобіжного заходу у вигляді домашнього арешту або тримання під вартою до спливу двомісячного строку з дня надходження до суду обвинувального акту чи з дня застосування судом запобіжного заходу.</w:t>
      </w:r>
    </w:p>
    <w:p w:rsidR="007B0C15" w:rsidRPr="007B0C15" w:rsidRDefault="007B0C15" w:rsidP="007B0C15">
      <w:pPr>
        <w:suppressAutoHyphens w:val="0"/>
        <w:ind w:firstLine="709"/>
        <w:jc w:val="both"/>
        <w:rPr>
          <w:sz w:val="28"/>
          <w:szCs w:val="28"/>
          <w:lang w:eastAsia="uk-UA"/>
        </w:rPr>
      </w:pPr>
      <w:r w:rsidRPr="007B0C15">
        <w:rPr>
          <w:sz w:val="28"/>
          <w:szCs w:val="28"/>
          <w:lang w:eastAsia="uk-UA"/>
        </w:rPr>
        <w:t>Також Законопроектом пропонується встановити, що у разі відсутності клопотань сторін кримінального провадження щодо обрання, зміни, скасування та продовження заходів забезпечення кримінального провадження та закінчення строку застосування до обвинуваченого запобіжних заходів у вигляді домашнього арешту або тримання під вартою, обвинувачений має бути негайно звільнений з-під варти або обмежень внаслідок застосування домашнього арешту.</w:t>
      </w:r>
    </w:p>
    <w:p w:rsidR="007B0C15" w:rsidRPr="007B0C15" w:rsidRDefault="007B0C15" w:rsidP="007B0C15">
      <w:pPr>
        <w:ind w:firstLine="709"/>
        <w:jc w:val="both"/>
        <w:rPr>
          <w:bCs/>
          <w:sz w:val="28"/>
          <w:szCs w:val="28"/>
        </w:rPr>
      </w:pPr>
    </w:p>
    <w:p w:rsidR="007B0C15" w:rsidRPr="007B0C15" w:rsidRDefault="007B0C15" w:rsidP="007B0C15">
      <w:pPr>
        <w:ind w:firstLine="709"/>
        <w:jc w:val="both"/>
        <w:rPr>
          <w:bCs/>
          <w:sz w:val="28"/>
          <w:szCs w:val="28"/>
        </w:rPr>
      </w:pPr>
      <w:r w:rsidRPr="007B0C15">
        <w:rPr>
          <w:bCs/>
          <w:sz w:val="28"/>
          <w:szCs w:val="28"/>
        </w:rPr>
        <w:lastRenderedPageBreak/>
        <w:t>Вирішуючи питання про відповідність Законопроекту положенням Конституції України, Комітет виходить з такого.</w:t>
      </w:r>
    </w:p>
    <w:p w:rsidR="007B0C15" w:rsidRPr="007B0C15" w:rsidRDefault="007B0C15" w:rsidP="007B0C15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7B0C15">
        <w:rPr>
          <w:rFonts w:eastAsia="MS ??"/>
          <w:bCs/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7B0C15" w:rsidRPr="007B0C15" w:rsidRDefault="007B0C15" w:rsidP="007B0C15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7B0C15">
        <w:rPr>
          <w:rFonts w:eastAsia="MS ??"/>
          <w:bCs/>
          <w:sz w:val="28"/>
          <w:szCs w:val="28"/>
        </w:rPr>
        <w:t>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України(частина друга статті 19 Основного Закону України).</w:t>
      </w:r>
    </w:p>
    <w:p w:rsidR="007B0C15" w:rsidRPr="007B0C15" w:rsidRDefault="007B0C15" w:rsidP="007B0C15">
      <w:pPr>
        <w:ind w:firstLine="709"/>
        <w:jc w:val="both"/>
        <w:rPr>
          <w:sz w:val="28"/>
          <w:szCs w:val="28"/>
        </w:rPr>
      </w:pPr>
      <w:r w:rsidRPr="007B0C15">
        <w:rPr>
          <w:sz w:val="28"/>
          <w:szCs w:val="28"/>
        </w:rPr>
        <w:t>Відповідно до Основного Закону України всі люди є вільні і рівні у своїй гідності та правах, права і свободи людини є невідчужуваними та непорушними;</w:t>
      </w:r>
      <w:r w:rsidRPr="007B0C15">
        <w:rPr>
          <w:b/>
          <w:sz w:val="28"/>
          <w:szCs w:val="28"/>
        </w:rPr>
        <w:t xml:space="preserve"> </w:t>
      </w:r>
      <w:r w:rsidRPr="007B0C15">
        <w:rPr>
          <w:sz w:val="28"/>
          <w:szCs w:val="28"/>
        </w:rPr>
        <w:t>конституційні права і свободи гарантуються і не можуть бути скасовані; кожен має право на повагу до його гідності; ніхто не може бути підданий катуванню, жорстокому, нелюдському або такому, що принижує його гідність, поводженню чи покаранню;</w:t>
      </w:r>
      <w:r w:rsidRPr="007B0C15">
        <w:rPr>
          <w:b/>
          <w:sz w:val="28"/>
        </w:rPr>
        <w:t xml:space="preserve"> </w:t>
      </w:r>
      <w:r w:rsidRPr="007B0C15">
        <w:rPr>
          <w:sz w:val="28"/>
          <w:szCs w:val="28"/>
        </w:rPr>
        <w:t>кожна людина має право на свободу та особисту недоторканність (</w:t>
      </w:r>
      <w:hyperlink r:id="rId4" w:anchor="n4234" w:tgtFrame="_blank" w:history="1">
        <w:r w:rsidRPr="007B0C15">
          <w:rPr>
            <w:sz w:val="28"/>
            <w:szCs w:val="28"/>
          </w:rPr>
          <w:t>стаття 21</w:t>
        </w:r>
      </w:hyperlink>
      <w:r w:rsidRPr="007B0C15">
        <w:rPr>
          <w:sz w:val="28"/>
          <w:szCs w:val="28"/>
        </w:rPr>
        <w:t xml:space="preserve">, </w:t>
      </w:r>
      <w:hyperlink r:id="rId5" w:anchor="n4236" w:tgtFrame="_blank" w:history="1">
        <w:r w:rsidRPr="007B0C15">
          <w:rPr>
            <w:sz w:val="28"/>
            <w:szCs w:val="28"/>
          </w:rPr>
          <w:t>частина друга статті 22</w:t>
        </w:r>
      </w:hyperlink>
      <w:r w:rsidRPr="007B0C15">
        <w:rPr>
          <w:sz w:val="28"/>
          <w:szCs w:val="28"/>
        </w:rPr>
        <w:t xml:space="preserve">, </w:t>
      </w:r>
      <w:hyperlink r:id="rId6" w:anchor="n4250" w:tgtFrame="_blank" w:history="1">
        <w:r w:rsidRPr="007B0C15">
          <w:rPr>
            <w:sz w:val="28"/>
            <w:szCs w:val="28"/>
          </w:rPr>
          <w:t>частина перша, друга статті 28</w:t>
        </w:r>
      </w:hyperlink>
      <w:r w:rsidRPr="007B0C15">
        <w:rPr>
          <w:sz w:val="28"/>
          <w:szCs w:val="28"/>
        </w:rPr>
        <w:t>, частина перша статті 29 Конституції України).</w:t>
      </w:r>
    </w:p>
    <w:p w:rsidR="007B0C15" w:rsidRPr="007B0C15" w:rsidRDefault="007B0C15" w:rsidP="007B0C15">
      <w:pPr>
        <w:ind w:firstLine="709"/>
        <w:jc w:val="both"/>
        <w:rPr>
          <w:sz w:val="28"/>
          <w:szCs w:val="28"/>
        </w:rPr>
      </w:pPr>
      <w:r w:rsidRPr="007B0C15">
        <w:rPr>
          <w:rFonts w:eastAsia="MS ??"/>
          <w:bCs/>
          <w:sz w:val="28"/>
          <w:szCs w:val="28"/>
        </w:rPr>
        <w:t>Права і свободи людини і громадянина захищаються судом; к</w:t>
      </w:r>
      <w:r w:rsidRPr="007B0C15">
        <w:rPr>
          <w:sz w:val="28"/>
          <w:szCs w:val="28"/>
        </w:rPr>
        <w:t>ожному гарантується право на оскарження в суді рішень, дій чи бездіяльності органів державної влади, органів місцевого самоврядування, посадових і службових осіб; кожен має право звертатися за захистом своїх прав до Уповноваженого Верховної Ради України з прав людини; кожен має право будь-якими не забороненими законом засобами захищати свої права і свободи від порушень і протиправних посягань (частина перша, друга, третя та шоста статті 55 Конституції України).</w:t>
      </w:r>
    </w:p>
    <w:p w:rsidR="007B0C15" w:rsidRPr="007B0C15" w:rsidRDefault="007B0C15" w:rsidP="007B0C15">
      <w:pPr>
        <w:ind w:firstLine="709"/>
        <w:jc w:val="both"/>
        <w:rPr>
          <w:sz w:val="28"/>
          <w:szCs w:val="28"/>
        </w:rPr>
      </w:pPr>
      <w:r w:rsidRPr="007B0C15">
        <w:rPr>
          <w:sz w:val="28"/>
          <w:szCs w:val="28"/>
        </w:rPr>
        <w:t>Конституційні права і свободи людини і громадянина не можуть бути обмежені, крім випадків, передбачених Конституцією України (частина перша статті 64 Основного Закону України).</w:t>
      </w:r>
    </w:p>
    <w:p w:rsidR="007B0C15" w:rsidRPr="007B0C15" w:rsidRDefault="007B0C15" w:rsidP="007B0C15">
      <w:pPr>
        <w:ind w:firstLine="709"/>
        <w:jc w:val="both"/>
        <w:rPr>
          <w:sz w:val="28"/>
          <w:szCs w:val="28"/>
        </w:rPr>
      </w:pPr>
      <w:r w:rsidRPr="007B0C15">
        <w:rPr>
          <w:sz w:val="28"/>
          <w:szCs w:val="28"/>
        </w:rPr>
        <w:t>Наведені норми Конституції України цілком кореспондуються з чинними міжнародними договорами (згода на обов’язковість яких надана Верховною Радою України), які відповідно до частини першої статті 9 Основного Закону України є частиною національного законодавства України.</w:t>
      </w:r>
    </w:p>
    <w:p w:rsidR="007B0C15" w:rsidRPr="007B0C15" w:rsidRDefault="007B0C15" w:rsidP="007B0C15">
      <w:pPr>
        <w:suppressAutoHyphens w:val="0"/>
        <w:ind w:firstLine="709"/>
        <w:jc w:val="both"/>
        <w:rPr>
          <w:rFonts w:eastAsia="MS ??"/>
          <w:bCs/>
          <w:sz w:val="28"/>
          <w:szCs w:val="28"/>
        </w:rPr>
      </w:pPr>
      <w:r w:rsidRPr="007B0C15">
        <w:rPr>
          <w:rFonts w:eastAsia="MS ??"/>
          <w:bCs/>
          <w:sz w:val="28"/>
          <w:szCs w:val="28"/>
        </w:rPr>
        <w:t>Відповідно до положень статті 5 Конвенції про захист прав людини і основоположних свобод</w:t>
      </w:r>
      <w:r w:rsidRPr="007B0C1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7B0C15">
        <w:rPr>
          <w:rFonts w:eastAsia="MS ??"/>
          <w:bCs/>
          <w:sz w:val="28"/>
          <w:szCs w:val="28"/>
        </w:rPr>
        <w:t xml:space="preserve">кожен має право на свободу та особисту недоторканність; нікого не може бути </w:t>
      </w:r>
      <w:proofErr w:type="spellStart"/>
      <w:r w:rsidRPr="007B0C15">
        <w:rPr>
          <w:rFonts w:eastAsia="MS ??"/>
          <w:bCs/>
          <w:sz w:val="28"/>
          <w:szCs w:val="28"/>
        </w:rPr>
        <w:t>позбавлено</w:t>
      </w:r>
      <w:proofErr w:type="spellEnd"/>
      <w:r w:rsidRPr="007B0C15">
        <w:rPr>
          <w:rFonts w:eastAsia="MS ??"/>
          <w:bCs/>
          <w:sz w:val="28"/>
          <w:szCs w:val="28"/>
        </w:rPr>
        <w:t xml:space="preserve"> свободи, крім таких випадків і відповідно до процедури, встановленої законом: &lt;…&gt; законний арешт або затримання особи, здійснене з метою </w:t>
      </w:r>
      <w:proofErr w:type="spellStart"/>
      <w:r w:rsidRPr="007B0C15">
        <w:rPr>
          <w:rFonts w:eastAsia="MS ??"/>
          <w:bCs/>
          <w:sz w:val="28"/>
          <w:szCs w:val="28"/>
        </w:rPr>
        <w:t>допровадження</w:t>
      </w:r>
      <w:proofErr w:type="spellEnd"/>
      <w:r w:rsidRPr="007B0C15">
        <w:rPr>
          <w:rFonts w:eastAsia="MS ??"/>
          <w:bCs/>
          <w:sz w:val="28"/>
          <w:szCs w:val="28"/>
        </w:rPr>
        <w:t xml:space="preserve"> її до компетентного судового органу за наявності обґрунтованої підозри у вчиненні нею правопорушення або якщо обґрунтовано вважається необхідним запобігти вчиненню нею правопорушення чи її втечі після його вчинення (підпункт «с» пункту 1); особа, яку заарештовано або затримано згідно з положеннями підпункту «c» пункту 1 цієї статті, має негайно постати перед суддею чи іншою посадовою особою, якій закон надає право здійснювати судову владу, і їй має бути забезпечено розгляд справи судом упродовж розумного строку або </w:t>
      </w:r>
      <w:r w:rsidRPr="007B0C15">
        <w:rPr>
          <w:rFonts w:eastAsia="MS ??"/>
          <w:bCs/>
          <w:sz w:val="28"/>
          <w:szCs w:val="28"/>
        </w:rPr>
        <w:lastRenderedPageBreak/>
        <w:t xml:space="preserve">звільнення під час провадження (пункт 3); особа, яку </w:t>
      </w:r>
      <w:proofErr w:type="spellStart"/>
      <w:r w:rsidRPr="007B0C15">
        <w:rPr>
          <w:rFonts w:eastAsia="MS ??"/>
          <w:bCs/>
          <w:sz w:val="28"/>
          <w:szCs w:val="28"/>
        </w:rPr>
        <w:t>позбавлено</w:t>
      </w:r>
      <w:proofErr w:type="spellEnd"/>
      <w:r w:rsidRPr="007B0C15">
        <w:rPr>
          <w:rFonts w:eastAsia="MS ??"/>
          <w:bCs/>
          <w:sz w:val="28"/>
          <w:szCs w:val="28"/>
        </w:rPr>
        <w:t xml:space="preserve"> свободи внаслідок арешту або тримання під вартою, має право ініціювати провадження, в ході якого суд без зволікання встановлює законність затримання і приймає рішення про звільнення, якщо затримання є незаконним (пункт 4).</w:t>
      </w:r>
    </w:p>
    <w:p w:rsidR="007B0C15" w:rsidRPr="007B0C15" w:rsidRDefault="007B0C15" w:rsidP="007B0C15">
      <w:pPr>
        <w:suppressAutoHyphens w:val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B0C15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Відповідно до пунктів 1, 14 частини першої статті 92 Конституції України </w:t>
      </w:r>
      <w:r w:rsidRPr="007B0C15">
        <w:rPr>
          <w:sz w:val="28"/>
          <w:szCs w:val="20"/>
          <w:bdr w:val="none" w:sz="0" w:space="0" w:color="auto" w:frame="1"/>
          <w:shd w:val="clear" w:color="auto" w:fill="FFFFFF"/>
          <w:lang w:eastAsia="ru-RU"/>
        </w:rPr>
        <w:t>права і свободи людини, їх гарантії, а також судочинство</w:t>
      </w:r>
      <w:r w:rsidRPr="007B0C15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7B0C15">
        <w:rPr>
          <w:sz w:val="28"/>
          <w:szCs w:val="20"/>
          <w:bdr w:val="none" w:sz="0" w:space="0" w:color="auto" w:frame="1"/>
          <w:shd w:val="clear" w:color="auto" w:fill="FFFFFF"/>
          <w:lang w:eastAsia="ru-RU"/>
        </w:rPr>
        <w:t>визначаються</w:t>
      </w:r>
      <w:r w:rsidRPr="007B0C15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</w:t>
      </w:r>
      <w:r w:rsidRPr="007B0C15">
        <w:rPr>
          <w:sz w:val="28"/>
          <w:szCs w:val="20"/>
          <w:bdr w:val="none" w:sz="0" w:space="0" w:color="auto" w:frame="1"/>
          <w:shd w:val="clear" w:color="auto" w:fill="FFFFFF"/>
          <w:lang w:eastAsia="ru-RU"/>
        </w:rPr>
        <w:t>иключно законами України</w:t>
      </w:r>
      <w:r w:rsidRPr="007B0C15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7B0C15" w:rsidRPr="007B0C15" w:rsidRDefault="007B0C15" w:rsidP="007B0C15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7B0C15">
        <w:rPr>
          <w:rFonts w:eastAsia="MS ??"/>
          <w:bCs/>
          <w:sz w:val="28"/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7B0C15" w:rsidRPr="007B0C15" w:rsidRDefault="007B0C15" w:rsidP="007B0C15">
      <w:pPr>
        <w:ind w:firstLine="709"/>
        <w:jc w:val="both"/>
        <w:rPr>
          <w:sz w:val="28"/>
          <w:szCs w:val="28"/>
        </w:rPr>
      </w:pPr>
    </w:p>
    <w:p w:rsidR="007B0C15" w:rsidRPr="007B0C15" w:rsidRDefault="007B0C15" w:rsidP="007B0C15">
      <w:pPr>
        <w:ind w:firstLine="709"/>
        <w:jc w:val="both"/>
        <w:rPr>
          <w:sz w:val="28"/>
          <w:szCs w:val="28"/>
        </w:rPr>
      </w:pPr>
      <w:r w:rsidRPr="007B0C15">
        <w:rPr>
          <w:sz w:val="28"/>
          <w:szCs w:val="28"/>
        </w:rPr>
        <w:t xml:space="preserve">Враховуючи викладене, Комітет з питань правової політики та правосуддя дійшов висновку, що </w:t>
      </w:r>
      <w:r w:rsidRPr="007B0C15">
        <w:rPr>
          <w:rFonts w:eastAsiaTheme="minorHAnsi" w:cstheme="minorBidi"/>
          <w:sz w:val="28"/>
          <w:szCs w:val="28"/>
          <w:lang w:eastAsia="en-US"/>
        </w:rPr>
        <w:t>проект З</w:t>
      </w:r>
      <w:r w:rsidRPr="007B0C15">
        <w:rPr>
          <w:rFonts w:eastAsiaTheme="minorHAnsi" w:cstheme="minorBidi"/>
          <w:bCs/>
          <w:sz w:val="28"/>
          <w:szCs w:val="28"/>
          <w:lang w:eastAsia="uk-UA"/>
        </w:rPr>
        <w:t>акону України про внесення змін до Кримінального процесуального кодексу України щодо приведення порядку застосування запобіжних заходів у відповідність з практикою Європейського суду з прав людини  (реєстр. № 7089 від 07 вересня 2017 року), поданий Кабінетом Міністрів України</w:t>
      </w:r>
      <w:r w:rsidRPr="007B0C15">
        <w:rPr>
          <w:bCs/>
          <w:sz w:val="28"/>
          <w:szCs w:val="28"/>
          <w:lang w:eastAsia="uk-UA"/>
        </w:rPr>
        <w:t xml:space="preserve">, не </w:t>
      </w:r>
      <w:r w:rsidRPr="007B0C15">
        <w:rPr>
          <w:sz w:val="28"/>
          <w:szCs w:val="28"/>
        </w:rPr>
        <w:t>суперечить положенням Конституції України.</w:t>
      </w:r>
    </w:p>
    <w:p w:rsidR="00877B83" w:rsidRDefault="00877B83"/>
    <w:p w:rsidR="007B0C15" w:rsidRPr="008E18B3" w:rsidRDefault="007B0C15" w:rsidP="007B0C15">
      <w:pPr>
        <w:suppressAutoHyphens w:val="0"/>
        <w:rPr>
          <w:b/>
          <w:bCs/>
          <w:sz w:val="28"/>
          <w:szCs w:val="28"/>
          <w:lang w:eastAsia="ru-RU"/>
        </w:rPr>
      </w:pPr>
      <w:r w:rsidRPr="008E18B3">
        <w:rPr>
          <w:b/>
          <w:bCs/>
          <w:sz w:val="28"/>
          <w:szCs w:val="28"/>
          <w:lang w:eastAsia="ru-RU"/>
        </w:rPr>
        <w:t>Голова Комітету</w:t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  <w:t xml:space="preserve">            Р.П. КНЯЗЕВИЧ</w:t>
      </w:r>
    </w:p>
    <w:p w:rsidR="007B0C15" w:rsidRDefault="007B0C15" w:rsidP="007B0C15"/>
    <w:p w:rsidR="007B0C15" w:rsidRDefault="007B0C15"/>
    <w:sectPr w:rsidR="007B0C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15"/>
    <w:rsid w:val="007B0C15"/>
    <w:rsid w:val="00877B83"/>
    <w:rsid w:val="00AD1CA5"/>
    <w:rsid w:val="00FF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20D5F"/>
  <w15:chartTrackingRefBased/>
  <w15:docId w15:val="{DB7A4852-8D3C-4224-9460-3961C328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C15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rada/show/254%D0%BA/96-%D0%B2%D1%80/paran4250" TargetMode="External"/><Relationship Id="rId5" Type="http://schemas.openxmlformats.org/officeDocument/2006/relationships/hyperlink" Target="http://zakon3.rada.gov.ua/rada/show/254%D0%BA/96-%D0%B2%D1%80/paran4236" TargetMode="External"/><Relationship Id="rId4" Type="http://schemas.openxmlformats.org/officeDocument/2006/relationships/hyperlink" Target="http://zakon3.rada.gov.ua/rada/show/254%D0%BA/96-%D0%B2%D1%80/paran423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4434</Words>
  <Characters>2528</Characters>
  <Application>Microsoft Office Word</Application>
  <DocSecurity>0</DocSecurity>
  <Lines>21</Lines>
  <Paragraphs>13</Paragraphs>
  <ScaleCrop>false</ScaleCrop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3</cp:revision>
  <dcterms:created xsi:type="dcterms:W3CDTF">2018-02-28T13:25:00Z</dcterms:created>
  <dcterms:modified xsi:type="dcterms:W3CDTF">2018-03-13T10:02:00Z</dcterms:modified>
</cp:coreProperties>
</file>