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3AA" w:rsidRDefault="000F33AA" w:rsidP="000F33AA">
      <w:pPr>
        <w:spacing w:before="120" w:after="0" w:line="240" w:lineRule="auto"/>
        <w:jc w:val="center"/>
        <w:rPr>
          <w:rFonts w:ascii="Times New Roman" w:hAnsi="Times New Roman"/>
          <w:b/>
          <w:bCs/>
          <w:color w:val="000000"/>
          <w:sz w:val="28"/>
          <w:szCs w:val="28"/>
          <w:lang w:val="uk-UA" w:eastAsia="ru-RU"/>
        </w:rPr>
      </w:pPr>
      <w:r w:rsidRPr="00881F12">
        <w:rPr>
          <w:rFonts w:ascii="Times New Roman" w:hAnsi="Times New Roman"/>
          <w:b/>
          <w:bCs/>
          <w:color w:val="000000"/>
          <w:sz w:val="28"/>
          <w:szCs w:val="28"/>
          <w:lang w:val="uk-UA" w:eastAsia="ru-RU"/>
        </w:rPr>
        <w:t>ПОРІВНЯЛЬНА ТАБЛИЦЯ</w:t>
      </w:r>
      <w:r w:rsidR="002C52A6">
        <w:rPr>
          <w:rFonts w:ascii="Times New Roman" w:hAnsi="Times New Roman"/>
          <w:b/>
          <w:bCs/>
          <w:color w:val="000000"/>
          <w:sz w:val="28"/>
          <w:szCs w:val="28"/>
          <w:lang w:val="uk-UA" w:eastAsia="ru-RU"/>
        </w:rPr>
        <w:br/>
      </w:r>
      <w:r w:rsidRPr="00881F12">
        <w:rPr>
          <w:rFonts w:ascii="Times New Roman" w:hAnsi="Times New Roman"/>
          <w:b/>
          <w:bCs/>
          <w:color w:val="000000"/>
          <w:sz w:val="28"/>
          <w:szCs w:val="28"/>
          <w:lang w:val="uk-UA" w:eastAsia="ru-RU"/>
        </w:rPr>
        <w:t xml:space="preserve">до проекту Закону України «Про внесення змін до </w:t>
      </w:r>
      <w:r w:rsidR="009031C2" w:rsidRPr="00881F12">
        <w:rPr>
          <w:rFonts w:ascii="Times New Roman" w:hAnsi="Times New Roman"/>
          <w:b/>
          <w:bCs/>
          <w:color w:val="000000"/>
          <w:sz w:val="28"/>
          <w:szCs w:val="28"/>
          <w:lang w:val="uk-UA" w:eastAsia="ru-RU"/>
        </w:rPr>
        <w:t>Податкового кодексу</w:t>
      </w:r>
      <w:r w:rsidRPr="00881F12">
        <w:rPr>
          <w:rFonts w:ascii="Times New Roman" w:hAnsi="Times New Roman"/>
          <w:b/>
          <w:bCs/>
          <w:color w:val="000000"/>
          <w:sz w:val="28"/>
          <w:szCs w:val="28"/>
          <w:lang w:val="uk-UA" w:eastAsia="ru-RU"/>
        </w:rPr>
        <w:t xml:space="preserve"> України щодо</w:t>
      </w:r>
      <w:r w:rsidRPr="00881F12">
        <w:rPr>
          <w:rFonts w:ascii="Times New Roman" w:hAnsi="Times New Roman"/>
          <w:b/>
          <w:bCs/>
          <w:color w:val="000000"/>
          <w:sz w:val="28"/>
          <w:szCs w:val="28"/>
          <w:lang w:eastAsia="ru-RU"/>
        </w:rPr>
        <w:t xml:space="preserve"> </w:t>
      </w:r>
      <w:r w:rsidRPr="00881F12">
        <w:rPr>
          <w:rFonts w:ascii="Times New Roman" w:hAnsi="Times New Roman"/>
          <w:b/>
          <w:bCs/>
          <w:color w:val="000000"/>
          <w:sz w:val="28"/>
          <w:szCs w:val="28"/>
          <w:lang w:val="uk-UA" w:eastAsia="ru-RU"/>
        </w:rPr>
        <w:t xml:space="preserve">удосконалення системи </w:t>
      </w:r>
      <w:r w:rsidR="009031C2" w:rsidRPr="00881F12">
        <w:rPr>
          <w:rFonts w:ascii="Times New Roman" w:hAnsi="Times New Roman"/>
          <w:b/>
          <w:bCs/>
          <w:color w:val="000000"/>
          <w:sz w:val="28"/>
          <w:szCs w:val="28"/>
          <w:lang w:val="uk-UA" w:eastAsia="ru-RU"/>
        </w:rPr>
        <w:t>виплати дивідендів платниками єдиного податку</w:t>
      </w:r>
      <w:r w:rsidRPr="00881F12">
        <w:rPr>
          <w:rFonts w:ascii="Times New Roman" w:hAnsi="Times New Roman"/>
          <w:b/>
          <w:bCs/>
          <w:color w:val="000000"/>
          <w:sz w:val="28"/>
          <w:szCs w:val="28"/>
          <w:lang w:val="uk-UA" w:eastAsia="ru-RU"/>
        </w:rPr>
        <w:t>»</w:t>
      </w:r>
    </w:p>
    <w:p w:rsidR="002C52A6" w:rsidRPr="00881F12" w:rsidRDefault="002C52A6" w:rsidP="000F33AA">
      <w:pPr>
        <w:spacing w:before="120" w:after="0" w:line="240" w:lineRule="auto"/>
        <w:jc w:val="center"/>
        <w:rPr>
          <w:rFonts w:ascii="Times New Roman" w:hAnsi="Times New Roman"/>
          <w:b/>
          <w:sz w:val="28"/>
          <w:szCs w:val="28"/>
          <w:lang w:val="uk-UA"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393"/>
        <w:gridCol w:w="7393"/>
      </w:tblGrid>
      <w:tr w:rsidR="000F33AA" w:rsidRPr="00881F12" w:rsidTr="00881F12">
        <w:tc>
          <w:tcPr>
            <w:tcW w:w="2500" w:type="pct"/>
          </w:tcPr>
          <w:p w:rsidR="000F33AA" w:rsidRPr="00881F12" w:rsidRDefault="000F33AA" w:rsidP="009031C2">
            <w:pPr>
              <w:spacing w:before="120" w:after="0" w:line="240" w:lineRule="auto"/>
              <w:jc w:val="center"/>
              <w:rPr>
                <w:rFonts w:ascii="Times New Roman" w:hAnsi="Times New Roman"/>
                <w:sz w:val="28"/>
                <w:szCs w:val="28"/>
                <w:lang w:val="uk-UA" w:eastAsia="ru-RU"/>
              </w:rPr>
            </w:pPr>
            <w:r w:rsidRPr="00881F12">
              <w:rPr>
                <w:rFonts w:ascii="Times New Roman" w:hAnsi="Times New Roman"/>
                <w:b/>
                <w:bCs/>
                <w:sz w:val="28"/>
                <w:szCs w:val="28"/>
                <w:lang w:val="uk-UA" w:eastAsia="ru-RU"/>
              </w:rPr>
              <w:t xml:space="preserve">Зміст положення (норми) </w:t>
            </w:r>
            <w:r w:rsidR="009031C2" w:rsidRPr="00881F12">
              <w:rPr>
                <w:rFonts w:ascii="Times New Roman" w:hAnsi="Times New Roman"/>
                <w:b/>
                <w:bCs/>
                <w:sz w:val="28"/>
                <w:szCs w:val="28"/>
                <w:lang w:val="uk-UA" w:eastAsia="ru-RU"/>
              </w:rPr>
              <w:t>чинного</w:t>
            </w:r>
            <w:r w:rsidR="009031C2" w:rsidRPr="00881F12">
              <w:rPr>
                <w:rFonts w:ascii="Times New Roman" w:hAnsi="Times New Roman"/>
                <w:b/>
                <w:bCs/>
                <w:sz w:val="28"/>
                <w:szCs w:val="28"/>
                <w:lang w:val="uk-UA" w:eastAsia="ru-RU"/>
              </w:rPr>
              <w:br/>
            </w:r>
            <w:r w:rsidRPr="00881F12">
              <w:rPr>
                <w:rFonts w:ascii="Times New Roman" w:hAnsi="Times New Roman"/>
                <w:b/>
                <w:bCs/>
                <w:sz w:val="28"/>
                <w:szCs w:val="28"/>
                <w:lang w:val="uk-UA" w:eastAsia="ru-RU"/>
              </w:rPr>
              <w:t>законодавчого акта</w:t>
            </w:r>
          </w:p>
        </w:tc>
        <w:tc>
          <w:tcPr>
            <w:tcW w:w="2500" w:type="pct"/>
          </w:tcPr>
          <w:p w:rsidR="000F33AA" w:rsidRPr="00881F12" w:rsidRDefault="000F33AA" w:rsidP="009031C2">
            <w:pPr>
              <w:spacing w:before="120" w:after="0" w:line="240" w:lineRule="auto"/>
              <w:jc w:val="center"/>
              <w:rPr>
                <w:rFonts w:ascii="Times New Roman" w:hAnsi="Times New Roman"/>
                <w:sz w:val="28"/>
                <w:szCs w:val="28"/>
                <w:lang w:val="uk-UA" w:eastAsia="ru-RU"/>
              </w:rPr>
            </w:pPr>
            <w:r w:rsidRPr="00881F12">
              <w:rPr>
                <w:rFonts w:ascii="Times New Roman" w:hAnsi="Times New Roman"/>
                <w:b/>
                <w:bCs/>
                <w:sz w:val="28"/>
                <w:szCs w:val="28"/>
                <w:lang w:val="uk-UA" w:eastAsia="ru-RU"/>
              </w:rPr>
              <w:t xml:space="preserve">Зміст доопрацьованого </w:t>
            </w:r>
            <w:r w:rsidR="009031C2" w:rsidRPr="00881F12">
              <w:rPr>
                <w:rFonts w:ascii="Times New Roman" w:hAnsi="Times New Roman"/>
                <w:b/>
                <w:bCs/>
                <w:sz w:val="28"/>
                <w:szCs w:val="28"/>
                <w:lang w:val="uk-UA" w:eastAsia="ru-RU"/>
              </w:rPr>
              <w:t>відповідного</w:t>
            </w:r>
            <w:r w:rsidR="009031C2" w:rsidRPr="00881F12">
              <w:rPr>
                <w:rFonts w:ascii="Times New Roman" w:hAnsi="Times New Roman"/>
                <w:b/>
                <w:bCs/>
                <w:sz w:val="28"/>
                <w:szCs w:val="28"/>
                <w:lang w:val="uk-UA" w:eastAsia="ru-RU"/>
              </w:rPr>
              <w:br/>
            </w:r>
            <w:r w:rsidRPr="00881F12">
              <w:rPr>
                <w:rFonts w:ascii="Times New Roman" w:hAnsi="Times New Roman"/>
                <w:b/>
                <w:bCs/>
                <w:sz w:val="28"/>
                <w:szCs w:val="28"/>
                <w:lang w:val="uk-UA" w:eastAsia="ru-RU"/>
              </w:rPr>
              <w:t xml:space="preserve">положення (норми) проекту акта </w:t>
            </w:r>
          </w:p>
        </w:tc>
      </w:tr>
      <w:tr w:rsidR="000F33AA" w:rsidRPr="00881F12" w:rsidTr="00881F12">
        <w:tc>
          <w:tcPr>
            <w:tcW w:w="2500" w:type="pct"/>
          </w:tcPr>
          <w:p w:rsidR="000F33AA" w:rsidRPr="00881F12" w:rsidRDefault="000F33AA" w:rsidP="00B21CDC">
            <w:pPr>
              <w:pStyle w:val="rvps2"/>
              <w:shd w:val="clear" w:color="auto" w:fill="FFFFFF"/>
              <w:spacing w:before="0" w:beforeAutospacing="0" w:after="0" w:afterAutospacing="0"/>
              <w:ind w:firstLine="450"/>
              <w:jc w:val="both"/>
              <w:textAlignment w:val="baseline"/>
              <w:rPr>
                <w:color w:val="000000"/>
                <w:sz w:val="28"/>
                <w:szCs w:val="28"/>
              </w:rPr>
            </w:pPr>
            <w:r w:rsidRPr="00881F12">
              <w:rPr>
                <w:b/>
                <w:color w:val="000000"/>
                <w:sz w:val="28"/>
                <w:szCs w:val="28"/>
              </w:rPr>
              <w:t>57.1</w:t>
            </w:r>
            <w:r w:rsidRPr="00881F12">
              <w:rPr>
                <w:b/>
                <w:sz w:val="28"/>
                <w:szCs w:val="28"/>
              </w:rPr>
              <w:t>-1</w:t>
            </w:r>
            <w:r w:rsidRPr="00881F12">
              <w:rPr>
                <w:b/>
                <w:color w:val="000000"/>
                <w:sz w:val="28"/>
                <w:szCs w:val="28"/>
              </w:rPr>
              <w:t>.2.</w:t>
            </w:r>
            <w:r w:rsidRPr="00881F12">
              <w:rPr>
                <w:color w:val="000000"/>
                <w:sz w:val="28"/>
                <w:szCs w:val="28"/>
              </w:rPr>
              <w:t xml:space="preserve"> Крім випадків, передбачених підпунктом 57.1</w:t>
            </w:r>
            <w:r w:rsidRPr="00881F12">
              <w:rPr>
                <w:sz w:val="28"/>
                <w:szCs w:val="28"/>
              </w:rPr>
              <w:t>-1</w:t>
            </w:r>
            <w:r w:rsidRPr="00881F12">
              <w:rPr>
                <w:color w:val="000000"/>
                <w:sz w:val="28"/>
                <w:szCs w:val="28"/>
              </w:rPr>
              <w:t>.3 цього пункту, емітент корпоративних прав, який приймає рішення про виплату дивідендів своїм акціонерам (власникам), нараховує та вносить до бюджету авансовий внесок із податку на прибуток.</w:t>
            </w:r>
          </w:p>
          <w:p w:rsidR="000F33AA" w:rsidRPr="00881F12" w:rsidRDefault="000F33AA" w:rsidP="00B21CDC">
            <w:pPr>
              <w:pStyle w:val="rvps2"/>
              <w:shd w:val="clear" w:color="auto" w:fill="FFFFFF"/>
              <w:spacing w:before="0" w:beforeAutospacing="0" w:after="0" w:afterAutospacing="0"/>
              <w:ind w:firstLine="450"/>
              <w:jc w:val="both"/>
              <w:textAlignment w:val="baseline"/>
              <w:rPr>
                <w:color w:val="000000"/>
                <w:sz w:val="28"/>
                <w:szCs w:val="28"/>
              </w:rPr>
            </w:pPr>
            <w:r w:rsidRPr="00881F12">
              <w:rPr>
                <w:color w:val="000000"/>
                <w:sz w:val="28"/>
                <w:szCs w:val="28"/>
              </w:rPr>
              <w:t>Авансовий внесок розраховується з суми перевищення дивідендів, що підлягають виплаті, над значенням об’єкта оподаткування за відповідний податковий (звітний) рік, за результатами якого виплачуються дивіденди, грошове зобов’язання щодо якого погашене. У разі наявності непогашеного грошового зобов’язання авансовий внесок розраховується зі всієї суми дивідендів, що підлягають виплаті. Авансовий внесок обчислюється за ставкою, встановленою пунктом 136.1 статті 136 цього Кодексу. Сума дивідендів, що підлягає виплаті, не зменшується на суму авансового внеску.</w:t>
            </w:r>
          </w:p>
          <w:p w:rsidR="000F33AA" w:rsidRPr="00881F12" w:rsidRDefault="000F33AA" w:rsidP="00B21CDC">
            <w:pPr>
              <w:pStyle w:val="rvps2"/>
              <w:shd w:val="clear" w:color="auto" w:fill="FFFFFF"/>
              <w:spacing w:before="0" w:beforeAutospacing="0" w:after="0" w:afterAutospacing="0"/>
              <w:ind w:firstLine="450"/>
              <w:jc w:val="both"/>
              <w:textAlignment w:val="baseline"/>
              <w:rPr>
                <w:color w:val="000000"/>
                <w:sz w:val="28"/>
                <w:szCs w:val="28"/>
              </w:rPr>
            </w:pPr>
            <w:r w:rsidRPr="00881F12">
              <w:rPr>
                <w:color w:val="000000"/>
                <w:sz w:val="28"/>
                <w:szCs w:val="28"/>
              </w:rPr>
              <w:t xml:space="preserve">При цьому у разі якщо дивіденди виплачуються за неповний календарний рік, то для обрахунку суми зазначеного перевищення використовується значення об’єкту оподаткування, обчислене пропорційно кількості місяців, за які сплачуються дивіденди. Зазначений </w:t>
            </w:r>
            <w:r w:rsidRPr="00881F12">
              <w:rPr>
                <w:color w:val="000000"/>
                <w:sz w:val="28"/>
                <w:szCs w:val="28"/>
              </w:rPr>
              <w:lastRenderedPageBreak/>
              <w:t>авансовий внесок вноситься до бюджету до/або одночасно з виплатою дивідендів.</w:t>
            </w:r>
          </w:p>
          <w:p w:rsidR="000F33AA" w:rsidRPr="00881F12" w:rsidRDefault="000F33AA" w:rsidP="00B21CDC">
            <w:pPr>
              <w:pStyle w:val="rvps2"/>
              <w:shd w:val="clear" w:color="auto" w:fill="FFFFFF"/>
              <w:spacing w:before="0" w:beforeAutospacing="0" w:after="0" w:afterAutospacing="0"/>
              <w:ind w:firstLine="450"/>
              <w:jc w:val="both"/>
              <w:textAlignment w:val="baseline"/>
              <w:rPr>
                <w:color w:val="000000"/>
                <w:sz w:val="28"/>
                <w:szCs w:val="28"/>
              </w:rPr>
            </w:pPr>
            <w:r w:rsidRPr="00881F12">
              <w:rPr>
                <w:color w:val="000000"/>
                <w:sz w:val="28"/>
                <w:szCs w:val="28"/>
              </w:rPr>
              <w:t>Сума попередньо сплачених протягом податкового (звітного) періоду авансових внесків з податку на прибуток під час виплати дивідендів підлягає зарахуванню у зменшення нарахованого податкового зобов’язання з податку на прибуток, задекларованого у</w:t>
            </w:r>
            <w:r w:rsidRPr="00881F12">
              <w:rPr>
                <w:sz w:val="28"/>
                <w:szCs w:val="28"/>
              </w:rPr>
              <w:t> </w:t>
            </w:r>
            <w:hyperlink r:id="rId6" w:anchor="n20" w:tgtFrame="_blank" w:history="1">
              <w:r w:rsidRPr="00881F12">
                <w:rPr>
                  <w:color w:val="000000"/>
                  <w:sz w:val="28"/>
                  <w:szCs w:val="28"/>
                </w:rPr>
                <w:t>податковій декларації</w:t>
              </w:r>
            </w:hyperlink>
            <w:r w:rsidRPr="00881F12">
              <w:rPr>
                <w:sz w:val="28"/>
                <w:szCs w:val="28"/>
              </w:rPr>
              <w:t> </w:t>
            </w:r>
            <w:r w:rsidRPr="00881F12">
              <w:rPr>
                <w:color w:val="000000"/>
                <w:sz w:val="28"/>
                <w:szCs w:val="28"/>
              </w:rPr>
              <w:t>за такий податковий (звітний) період.</w:t>
            </w:r>
          </w:p>
          <w:p w:rsidR="000F33AA" w:rsidRPr="00881F12" w:rsidRDefault="000F33AA" w:rsidP="00B21CDC">
            <w:pPr>
              <w:pStyle w:val="rvps2"/>
              <w:shd w:val="clear" w:color="auto" w:fill="FFFFFF"/>
              <w:spacing w:before="0" w:beforeAutospacing="0" w:after="0" w:afterAutospacing="0"/>
              <w:ind w:firstLine="450"/>
              <w:jc w:val="both"/>
              <w:textAlignment w:val="baseline"/>
              <w:rPr>
                <w:color w:val="000000"/>
                <w:sz w:val="28"/>
                <w:szCs w:val="28"/>
              </w:rPr>
            </w:pPr>
            <w:r w:rsidRPr="00881F12">
              <w:rPr>
                <w:color w:val="000000"/>
                <w:sz w:val="28"/>
                <w:szCs w:val="28"/>
              </w:rPr>
              <w:t>У разі якщо сума авансового внеску, попередньо сплаченого протягом звітного періоду, перевищує суму нарахованого податкового зобов’язання підприємством - емітентом корпоративних прав за такий податковий (звітний) період, сума такого перевищення переноситься у зменшення податкових зобов’язань наступних податкових (звітних) періодів до повного його погашення, а під час отримання від’ємного значення об’єкта оподаткування такого наступного періоду - на зменшення податкових зобов’язань майбутніх податкових (звітних) періодів до повного його погашення.</w:t>
            </w:r>
          </w:p>
          <w:p w:rsidR="000F33AA" w:rsidRPr="00881F12" w:rsidRDefault="000F33AA" w:rsidP="00B21CDC">
            <w:pPr>
              <w:pStyle w:val="rvps2"/>
              <w:shd w:val="clear" w:color="auto" w:fill="FFFFFF"/>
              <w:spacing w:before="0" w:beforeAutospacing="0" w:after="0" w:afterAutospacing="0"/>
              <w:ind w:firstLine="450"/>
              <w:jc w:val="both"/>
              <w:textAlignment w:val="baseline"/>
              <w:rPr>
                <w:color w:val="000000"/>
                <w:sz w:val="28"/>
                <w:szCs w:val="28"/>
              </w:rPr>
            </w:pPr>
            <w:r w:rsidRPr="00881F12">
              <w:rPr>
                <w:color w:val="000000"/>
                <w:sz w:val="28"/>
                <w:szCs w:val="28"/>
              </w:rPr>
              <w:t>Сума сплачених авансових внесків з податку на прибуток при виплаті дивідендів не підлягає поверненню платнику податків або зарахуванню в рахунок погашення грошових зобов’язань з інших податків і зборів (обов’язкових платежів).</w:t>
            </w:r>
          </w:p>
          <w:p w:rsidR="000F33AA" w:rsidRPr="00881F12" w:rsidRDefault="000F33AA" w:rsidP="00B21CDC">
            <w:pPr>
              <w:tabs>
                <w:tab w:val="left" w:pos="317"/>
              </w:tabs>
              <w:spacing w:after="0"/>
              <w:ind w:firstLine="403"/>
              <w:jc w:val="both"/>
              <w:rPr>
                <w:rFonts w:ascii="Times New Roman" w:hAnsi="Times New Roman"/>
                <w:color w:val="000000"/>
                <w:sz w:val="28"/>
                <w:szCs w:val="28"/>
                <w:lang w:val="uk-UA" w:eastAsia="uk-UA"/>
              </w:rPr>
            </w:pPr>
            <w:r w:rsidRPr="00881F12">
              <w:rPr>
                <w:rFonts w:ascii="Times New Roman" w:hAnsi="Times New Roman"/>
                <w:color w:val="000000"/>
                <w:sz w:val="28"/>
                <w:szCs w:val="28"/>
                <w:lang w:val="uk-UA" w:eastAsia="uk-UA"/>
              </w:rPr>
              <w:t>У разі виплати дивідендів у формі, відмінній від грошової (крім випадків, передбачених підпунктом 57.1</w:t>
            </w:r>
            <w:r w:rsidRPr="00881F12">
              <w:rPr>
                <w:rFonts w:ascii="Times New Roman" w:hAnsi="Times New Roman"/>
                <w:sz w:val="28"/>
                <w:szCs w:val="28"/>
                <w:lang w:val="uk-UA" w:eastAsia="uk-UA"/>
              </w:rPr>
              <w:t>-1</w:t>
            </w:r>
            <w:r w:rsidRPr="00881F12">
              <w:rPr>
                <w:rFonts w:ascii="Times New Roman" w:hAnsi="Times New Roman"/>
                <w:color w:val="000000"/>
                <w:sz w:val="28"/>
                <w:szCs w:val="28"/>
                <w:lang w:val="uk-UA" w:eastAsia="uk-UA"/>
              </w:rPr>
              <w:t xml:space="preserve">.3 цього пункту), базою для нарахування авансового внеску згідно з абзацами першим та другим цього підпункту є </w:t>
            </w:r>
            <w:r w:rsidRPr="00881F12">
              <w:rPr>
                <w:rFonts w:ascii="Times New Roman" w:hAnsi="Times New Roman"/>
                <w:color w:val="000000"/>
                <w:sz w:val="28"/>
                <w:szCs w:val="28"/>
                <w:lang w:val="uk-UA" w:eastAsia="uk-UA"/>
              </w:rPr>
              <w:lastRenderedPageBreak/>
              <w:t>вартість такої виплати, визначена у рішенні про виплату дивідендів, або вартість такої виплати, розрахована відповідно до принципу "витягнутої руки" в операціях, визнаних відповідно до статті 39 цього Кодексу контрольованими. Обов’язок з нарахування та сплати авансового внеску з податку за визначеною</w:t>
            </w:r>
            <w:r w:rsidRPr="00881F12">
              <w:rPr>
                <w:rFonts w:ascii="Times New Roman" w:hAnsi="Times New Roman"/>
                <w:sz w:val="28"/>
                <w:szCs w:val="28"/>
                <w:lang w:val="uk-UA" w:eastAsia="uk-UA"/>
              </w:rPr>
              <w:t> </w:t>
            </w:r>
            <w:hyperlink r:id="rId7" w:anchor="n10643" w:history="1">
              <w:r w:rsidRPr="00881F12">
                <w:rPr>
                  <w:rFonts w:ascii="Times New Roman" w:hAnsi="Times New Roman"/>
                  <w:color w:val="000000"/>
                  <w:sz w:val="28"/>
                  <w:szCs w:val="28"/>
                  <w:lang w:val="uk-UA" w:eastAsia="uk-UA"/>
                </w:rPr>
                <w:t>пунктом 136.1</w:t>
              </w:r>
            </w:hyperlink>
            <w:r w:rsidRPr="00881F12">
              <w:rPr>
                <w:rFonts w:ascii="Times New Roman" w:hAnsi="Times New Roman"/>
                <w:sz w:val="28"/>
                <w:szCs w:val="28"/>
                <w:lang w:val="uk-UA" w:eastAsia="uk-UA"/>
              </w:rPr>
              <w:t> </w:t>
            </w:r>
            <w:r w:rsidRPr="00881F12">
              <w:rPr>
                <w:rFonts w:ascii="Times New Roman" w:hAnsi="Times New Roman"/>
                <w:color w:val="000000"/>
                <w:sz w:val="28"/>
                <w:szCs w:val="28"/>
                <w:lang w:val="uk-UA" w:eastAsia="uk-UA"/>
              </w:rPr>
              <w:t>статті 136 цього Кодексу ставкою покладається на будь-якого емітента корпоративних прав, що є резидентом, незалежно від того, чи користується такий емітент пільгами із сплати податку, передбаченими цим Кодексом, чи у вигляді застосування ставки податку іншої, ніж встановлена</w:t>
            </w:r>
            <w:r w:rsidR="009B5D9F" w:rsidRPr="009B5D9F">
              <w:rPr>
                <w:rFonts w:ascii="Times New Roman" w:hAnsi="Times New Roman"/>
                <w:color w:val="000000"/>
                <w:sz w:val="28"/>
                <w:szCs w:val="28"/>
                <w:lang w:eastAsia="uk-UA"/>
              </w:rPr>
              <w:t xml:space="preserve"> </w:t>
            </w:r>
            <w:hyperlink r:id="rId8" w:anchor="n10643" w:history="1">
              <w:r w:rsidRPr="00881F12">
                <w:rPr>
                  <w:rFonts w:ascii="Times New Roman" w:hAnsi="Times New Roman"/>
                  <w:color w:val="000000"/>
                  <w:sz w:val="28"/>
                  <w:szCs w:val="28"/>
                  <w:lang w:val="uk-UA" w:eastAsia="uk-UA"/>
                </w:rPr>
                <w:t>пунктом 136.1</w:t>
              </w:r>
            </w:hyperlink>
            <w:r w:rsidRPr="00881F12">
              <w:rPr>
                <w:rFonts w:ascii="Times New Roman" w:hAnsi="Times New Roman"/>
                <w:sz w:val="28"/>
                <w:szCs w:val="28"/>
                <w:lang w:val="uk-UA" w:eastAsia="uk-UA"/>
              </w:rPr>
              <w:t> </w:t>
            </w:r>
            <w:r w:rsidRPr="00881F12">
              <w:rPr>
                <w:rFonts w:ascii="Times New Roman" w:hAnsi="Times New Roman"/>
                <w:color w:val="000000"/>
                <w:sz w:val="28"/>
                <w:szCs w:val="28"/>
                <w:lang w:val="uk-UA" w:eastAsia="uk-UA"/>
              </w:rPr>
              <w:t>статті 136 цього Кодексу.</w:t>
            </w:r>
          </w:p>
        </w:tc>
        <w:tc>
          <w:tcPr>
            <w:tcW w:w="2500" w:type="pct"/>
          </w:tcPr>
          <w:p w:rsidR="000F33AA" w:rsidRPr="00881F12" w:rsidRDefault="000F33AA" w:rsidP="00B21CDC">
            <w:pPr>
              <w:pStyle w:val="rvps2"/>
              <w:shd w:val="clear" w:color="auto" w:fill="FFFFFF"/>
              <w:spacing w:before="0" w:beforeAutospacing="0" w:after="0" w:afterAutospacing="0"/>
              <w:ind w:firstLine="450"/>
              <w:jc w:val="both"/>
              <w:textAlignment w:val="baseline"/>
              <w:rPr>
                <w:color w:val="000000"/>
                <w:sz w:val="28"/>
                <w:szCs w:val="28"/>
              </w:rPr>
            </w:pPr>
            <w:r w:rsidRPr="00881F12">
              <w:rPr>
                <w:b/>
                <w:color w:val="000000"/>
                <w:sz w:val="28"/>
                <w:szCs w:val="28"/>
              </w:rPr>
              <w:lastRenderedPageBreak/>
              <w:t>57.1</w:t>
            </w:r>
            <w:r w:rsidRPr="00881F12">
              <w:rPr>
                <w:b/>
                <w:sz w:val="28"/>
                <w:szCs w:val="28"/>
              </w:rPr>
              <w:t>-1</w:t>
            </w:r>
            <w:r w:rsidRPr="00881F12">
              <w:rPr>
                <w:b/>
                <w:color w:val="000000"/>
                <w:sz w:val="28"/>
                <w:szCs w:val="28"/>
              </w:rPr>
              <w:t>.2.</w:t>
            </w:r>
            <w:r w:rsidRPr="00881F12">
              <w:rPr>
                <w:color w:val="000000"/>
                <w:sz w:val="28"/>
                <w:szCs w:val="28"/>
              </w:rPr>
              <w:t xml:space="preserve"> Крім випадків, передбачених підпунктом 57.1</w:t>
            </w:r>
            <w:r w:rsidRPr="00881F12">
              <w:rPr>
                <w:sz w:val="28"/>
                <w:szCs w:val="28"/>
              </w:rPr>
              <w:t>-1</w:t>
            </w:r>
            <w:r w:rsidRPr="00881F12">
              <w:rPr>
                <w:color w:val="000000"/>
                <w:sz w:val="28"/>
                <w:szCs w:val="28"/>
              </w:rPr>
              <w:t>.3 цього пункту, емітент корпоративних прав, який приймає рішення про виплату дивідендів своїм акціонерам (власникам), нараховує та вносить до бюджету авансовий внесок із податку на прибуток.</w:t>
            </w:r>
          </w:p>
          <w:p w:rsidR="000F33AA" w:rsidRPr="00881F12" w:rsidRDefault="000F33AA" w:rsidP="00B21CDC">
            <w:pPr>
              <w:pStyle w:val="rvps2"/>
              <w:shd w:val="clear" w:color="auto" w:fill="FFFFFF"/>
              <w:spacing w:before="0" w:beforeAutospacing="0" w:after="0" w:afterAutospacing="0"/>
              <w:ind w:firstLine="450"/>
              <w:jc w:val="both"/>
              <w:textAlignment w:val="baseline"/>
              <w:rPr>
                <w:color w:val="000000"/>
                <w:sz w:val="28"/>
                <w:szCs w:val="28"/>
              </w:rPr>
            </w:pPr>
            <w:r w:rsidRPr="00881F12">
              <w:rPr>
                <w:color w:val="000000"/>
                <w:sz w:val="28"/>
                <w:szCs w:val="28"/>
              </w:rPr>
              <w:t>Авансовий внесок розраховується з суми перевищення дивідендів, що підлягають виплаті, над значенням об’єкта оподаткування за відповідний податковий (звітний) рік, за результатами якого виплачуються дивіденди, грошове зобов’язання щодо якого погашене. У разі наявності непогашеного грошового зобов’язання авансовий внесок розраховується зі всієї суми дивідендів, що підлягають виплаті. Авансовий внесок обчислюється за ставкою, встановленою пунктом 136.1 статті 136 цього Кодексу. Сума дивідендів, що підлягає виплаті, не зменшується на суму авансового внеску.</w:t>
            </w:r>
          </w:p>
          <w:p w:rsidR="000F33AA" w:rsidRPr="00881F12" w:rsidRDefault="000F33AA" w:rsidP="00B21CDC">
            <w:pPr>
              <w:pStyle w:val="rvps2"/>
              <w:shd w:val="clear" w:color="auto" w:fill="FFFFFF"/>
              <w:spacing w:before="0" w:beforeAutospacing="0" w:after="0" w:afterAutospacing="0"/>
              <w:ind w:firstLine="450"/>
              <w:jc w:val="both"/>
              <w:textAlignment w:val="baseline"/>
              <w:rPr>
                <w:color w:val="000000"/>
                <w:sz w:val="28"/>
                <w:szCs w:val="28"/>
              </w:rPr>
            </w:pPr>
            <w:r w:rsidRPr="00881F12">
              <w:rPr>
                <w:color w:val="000000"/>
                <w:sz w:val="28"/>
                <w:szCs w:val="28"/>
              </w:rPr>
              <w:t xml:space="preserve">При цьому у разі якщо дивіденди виплачуються за неповний календарний рік, то для обрахунку суми зазначеного перевищення використовується значення об’єкту оподаткування, обчислене пропорційно кількості місяців, за які сплачуються дивіденди. Зазначений </w:t>
            </w:r>
            <w:r w:rsidRPr="00881F12">
              <w:rPr>
                <w:color w:val="000000"/>
                <w:sz w:val="28"/>
                <w:szCs w:val="28"/>
              </w:rPr>
              <w:lastRenderedPageBreak/>
              <w:t>авансовий внесок вноситься до бюджету до/або одночасно з виплатою дивідендів.</w:t>
            </w:r>
          </w:p>
          <w:p w:rsidR="000F33AA" w:rsidRPr="00881F12" w:rsidRDefault="000F33AA" w:rsidP="00B21CDC">
            <w:pPr>
              <w:pStyle w:val="rvps2"/>
              <w:shd w:val="clear" w:color="auto" w:fill="FFFFFF"/>
              <w:spacing w:before="0" w:beforeAutospacing="0" w:after="0" w:afterAutospacing="0"/>
              <w:ind w:firstLine="450"/>
              <w:jc w:val="both"/>
              <w:textAlignment w:val="baseline"/>
              <w:rPr>
                <w:color w:val="000000"/>
                <w:sz w:val="28"/>
                <w:szCs w:val="28"/>
              </w:rPr>
            </w:pPr>
            <w:r w:rsidRPr="00881F12">
              <w:rPr>
                <w:color w:val="000000"/>
                <w:sz w:val="28"/>
                <w:szCs w:val="28"/>
              </w:rPr>
              <w:t>Сума попередньо сплачених протягом податкового (звітного) періоду авансових внесків з податку на прибуток під час виплати дивідендів підлягає зарахуванню у зменшення нарахованого податкового зобов’язання з податку на прибуток, задекларованого у</w:t>
            </w:r>
            <w:r w:rsidRPr="00881F12">
              <w:rPr>
                <w:sz w:val="28"/>
                <w:szCs w:val="28"/>
              </w:rPr>
              <w:t> </w:t>
            </w:r>
            <w:hyperlink r:id="rId9" w:anchor="n20" w:tgtFrame="_blank" w:history="1">
              <w:r w:rsidRPr="00881F12">
                <w:rPr>
                  <w:color w:val="000000"/>
                  <w:sz w:val="28"/>
                  <w:szCs w:val="28"/>
                </w:rPr>
                <w:t>податковій декларації</w:t>
              </w:r>
            </w:hyperlink>
            <w:r w:rsidRPr="00881F12">
              <w:rPr>
                <w:sz w:val="28"/>
                <w:szCs w:val="28"/>
              </w:rPr>
              <w:t> </w:t>
            </w:r>
            <w:r w:rsidRPr="00881F12">
              <w:rPr>
                <w:color w:val="000000"/>
                <w:sz w:val="28"/>
                <w:szCs w:val="28"/>
              </w:rPr>
              <w:t>за такий податковий (звітний) період.</w:t>
            </w:r>
          </w:p>
          <w:p w:rsidR="000F33AA" w:rsidRPr="00881F12" w:rsidRDefault="000F33AA" w:rsidP="00B21CDC">
            <w:pPr>
              <w:pStyle w:val="rvps2"/>
              <w:shd w:val="clear" w:color="auto" w:fill="FFFFFF"/>
              <w:spacing w:before="0" w:beforeAutospacing="0" w:after="0" w:afterAutospacing="0"/>
              <w:ind w:firstLine="450"/>
              <w:jc w:val="both"/>
              <w:textAlignment w:val="baseline"/>
              <w:rPr>
                <w:color w:val="000000"/>
                <w:sz w:val="28"/>
                <w:szCs w:val="28"/>
              </w:rPr>
            </w:pPr>
            <w:r w:rsidRPr="00881F12">
              <w:rPr>
                <w:color w:val="000000"/>
                <w:sz w:val="28"/>
                <w:szCs w:val="28"/>
              </w:rPr>
              <w:t>У разі якщо сума авансового внеску, попередньо сплаченого протягом звітного періоду, перевищує суму нарахованого податкового зобов’язання підприємством - емітентом корпоративних прав за такий податковий (звітний) період, сума такого перевищення переноситься у зменшення податкових зобов’язань наступних податкових (звітних) періодів до повного його погашення, а під час отримання від’ємного значення об’єкта оподаткування такого наступного періоду - на зменшення податкових зобов’язань майбутніх податкових (звітних) періодів до повного його погашення.</w:t>
            </w:r>
          </w:p>
          <w:p w:rsidR="000F33AA" w:rsidRPr="00881F12" w:rsidRDefault="000F33AA" w:rsidP="00B21CDC">
            <w:pPr>
              <w:pStyle w:val="rvps2"/>
              <w:shd w:val="clear" w:color="auto" w:fill="FFFFFF"/>
              <w:spacing w:before="0" w:beforeAutospacing="0" w:after="0" w:afterAutospacing="0"/>
              <w:ind w:firstLine="450"/>
              <w:jc w:val="both"/>
              <w:textAlignment w:val="baseline"/>
              <w:rPr>
                <w:color w:val="000000"/>
                <w:sz w:val="28"/>
                <w:szCs w:val="28"/>
              </w:rPr>
            </w:pPr>
            <w:r w:rsidRPr="00881F12">
              <w:rPr>
                <w:color w:val="000000"/>
                <w:sz w:val="28"/>
                <w:szCs w:val="28"/>
              </w:rPr>
              <w:t>Сума сплачених авансових внесків з податку на прибуток при виплаті дивідендів не підлягає поверненню платнику податків або зарахуванню в рахунок погашення грошових зобов’язань з інших податків і зборів (обов’язкових платежів).</w:t>
            </w:r>
          </w:p>
          <w:p w:rsidR="000F33AA" w:rsidRPr="00881F12" w:rsidRDefault="000F33AA" w:rsidP="00B21CDC">
            <w:pPr>
              <w:pStyle w:val="rvps2"/>
              <w:shd w:val="clear" w:color="auto" w:fill="FFFFFF"/>
              <w:spacing w:before="0" w:beforeAutospacing="0" w:after="0" w:afterAutospacing="0"/>
              <w:ind w:firstLine="450"/>
              <w:jc w:val="both"/>
              <w:textAlignment w:val="baseline"/>
              <w:rPr>
                <w:color w:val="000000"/>
                <w:sz w:val="28"/>
                <w:szCs w:val="28"/>
              </w:rPr>
            </w:pPr>
            <w:r w:rsidRPr="00881F12">
              <w:rPr>
                <w:color w:val="000000"/>
                <w:sz w:val="28"/>
                <w:szCs w:val="28"/>
              </w:rPr>
              <w:t>У разі виплати дивідендів у формі, відмінній від грошової (крім випадків, передбачених підпунктом 57.1</w:t>
            </w:r>
            <w:r w:rsidRPr="00881F12">
              <w:rPr>
                <w:sz w:val="28"/>
                <w:szCs w:val="28"/>
              </w:rPr>
              <w:t>-1</w:t>
            </w:r>
            <w:r w:rsidRPr="00881F12">
              <w:rPr>
                <w:color w:val="000000"/>
                <w:sz w:val="28"/>
                <w:szCs w:val="28"/>
              </w:rPr>
              <w:t xml:space="preserve">.3 цього пункту), базою для нарахування авансового внеску згідно з абзацами першим та другим цього підпункту є </w:t>
            </w:r>
            <w:r w:rsidRPr="00881F12">
              <w:rPr>
                <w:color w:val="000000"/>
                <w:sz w:val="28"/>
                <w:szCs w:val="28"/>
              </w:rPr>
              <w:lastRenderedPageBreak/>
              <w:t>вартість такої виплати, визначена у рішенні про виплату дивідендів, або вартість такої виплати, розрахована відповідно до принципу "витягнутої руки" в операціях, визнаних відповідно до статті 39 цього Кодексу контрольованими. Обов’язок з нарахування та сплати авансового внеску з податку за визначеною</w:t>
            </w:r>
            <w:r w:rsidRPr="00881F12">
              <w:rPr>
                <w:sz w:val="28"/>
                <w:szCs w:val="28"/>
              </w:rPr>
              <w:t> </w:t>
            </w:r>
            <w:hyperlink r:id="rId10" w:anchor="n10643" w:history="1">
              <w:r w:rsidRPr="00881F12">
                <w:rPr>
                  <w:color w:val="000000"/>
                  <w:sz w:val="28"/>
                  <w:szCs w:val="28"/>
                </w:rPr>
                <w:t>пунктом 136.1</w:t>
              </w:r>
            </w:hyperlink>
            <w:r w:rsidRPr="00881F12">
              <w:rPr>
                <w:sz w:val="28"/>
                <w:szCs w:val="28"/>
              </w:rPr>
              <w:t> </w:t>
            </w:r>
            <w:r w:rsidRPr="00881F12">
              <w:rPr>
                <w:color w:val="000000"/>
                <w:sz w:val="28"/>
                <w:szCs w:val="28"/>
              </w:rPr>
              <w:t xml:space="preserve">статті 136 цього Кодексу ставкою покладається на будь-якого емітента корпоративних прав </w:t>
            </w:r>
            <w:r w:rsidRPr="00881F12">
              <w:rPr>
                <w:b/>
                <w:color w:val="000000"/>
                <w:sz w:val="28"/>
                <w:szCs w:val="28"/>
              </w:rPr>
              <w:t>(крім платників єдиного податку),</w:t>
            </w:r>
            <w:r w:rsidRPr="00881F12">
              <w:rPr>
                <w:color w:val="000000"/>
                <w:sz w:val="28"/>
                <w:szCs w:val="28"/>
              </w:rPr>
              <w:t xml:space="preserve"> що є резидентом, незалежно від того, чи користується такий емітент пільгами із сплати податку, передбаченими цим Кодексом, чи у вигляді застосування ставки податку іншої, ніж встановлена</w:t>
            </w:r>
            <w:r w:rsidRPr="00881F12">
              <w:rPr>
                <w:sz w:val="28"/>
                <w:szCs w:val="28"/>
              </w:rPr>
              <w:t> </w:t>
            </w:r>
            <w:hyperlink r:id="rId11" w:anchor="n10643" w:history="1">
              <w:r w:rsidRPr="00881F12">
                <w:rPr>
                  <w:color w:val="000000"/>
                  <w:sz w:val="28"/>
                  <w:szCs w:val="28"/>
                </w:rPr>
                <w:t>пунктом 136.1</w:t>
              </w:r>
            </w:hyperlink>
            <w:r w:rsidRPr="00881F12">
              <w:rPr>
                <w:sz w:val="28"/>
                <w:szCs w:val="28"/>
              </w:rPr>
              <w:t> </w:t>
            </w:r>
            <w:r w:rsidRPr="00881F12">
              <w:rPr>
                <w:color w:val="000000"/>
                <w:sz w:val="28"/>
                <w:szCs w:val="28"/>
              </w:rPr>
              <w:t>статті 136 цього Кодексу.</w:t>
            </w:r>
          </w:p>
        </w:tc>
      </w:tr>
      <w:tr w:rsidR="000F33AA" w:rsidRPr="00F80E0C" w:rsidTr="00881F12">
        <w:tc>
          <w:tcPr>
            <w:tcW w:w="2500" w:type="pct"/>
          </w:tcPr>
          <w:p w:rsidR="000F33AA" w:rsidRPr="00881F12" w:rsidRDefault="000F33AA" w:rsidP="00B21CDC">
            <w:pPr>
              <w:pStyle w:val="rvps2"/>
              <w:shd w:val="clear" w:color="auto" w:fill="FFFFFF"/>
              <w:spacing w:before="0" w:beforeAutospacing="0" w:after="0" w:afterAutospacing="0" w:line="259" w:lineRule="auto"/>
              <w:ind w:firstLine="450"/>
              <w:jc w:val="both"/>
              <w:textAlignment w:val="baseline"/>
              <w:rPr>
                <w:sz w:val="28"/>
                <w:szCs w:val="28"/>
              </w:rPr>
            </w:pPr>
            <w:r w:rsidRPr="00881F12">
              <w:rPr>
                <w:b/>
                <w:sz w:val="28"/>
                <w:szCs w:val="28"/>
              </w:rPr>
              <w:lastRenderedPageBreak/>
              <w:t>140.4.</w:t>
            </w:r>
            <w:r w:rsidRPr="00881F12">
              <w:rPr>
                <w:sz w:val="28"/>
                <w:szCs w:val="28"/>
              </w:rPr>
              <w:t xml:space="preserve"> Фінансовий результат до оподаткування зменшується:</w:t>
            </w:r>
          </w:p>
          <w:p w:rsidR="000F33AA" w:rsidRPr="00881F12" w:rsidRDefault="000F33AA" w:rsidP="00B21CDC">
            <w:pPr>
              <w:pStyle w:val="rvps2"/>
              <w:shd w:val="clear" w:color="auto" w:fill="FFFFFF"/>
              <w:spacing w:before="0" w:beforeAutospacing="0" w:after="0" w:afterAutospacing="0" w:line="259" w:lineRule="auto"/>
              <w:ind w:firstLine="450"/>
              <w:jc w:val="both"/>
              <w:textAlignment w:val="baseline"/>
              <w:rPr>
                <w:sz w:val="28"/>
                <w:szCs w:val="28"/>
              </w:rPr>
            </w:pPr>
            <w:r w:rsidRPr="00881F12">
              <w:rPr>
                <w:b/>
                <w:sz w:val="28"/>
                <w:szCs w:val="28"/>
              </w:rPr>
              <w:t>140.4.1.</w:t>
            </w:r>
            <w:r w:rsidRPr="00881F12">
              <w:rPr>
                <w:sz w:val="28"/>
                <w:szCs w:val="28"/>
              </w:rPr>
              <w:t xml:space="preserve"> на суму нарахованих доходів від участі в капіталі інших платників податку на прибуток підприємств, платників єдиного податку </w:t>
            </w:r>
            <w:r w:rsidRPr="0052541E">
              <w:rPr>
                <w:b/>
                <w:strike/>
                <w:sz w:val="28"/>
                <w:szCs w:val="28"/>
              </w:rPr>
              <w:t>четвертої групи</w:t>
            </w:r>
            <w:bookmarkStart w:id="0" w:name="_GoBack"/>
            <w:bookmarkEnd w:id="0"/>
            <w:r w:rsidRPr="00881F12">
              <w:rPr>
                <w:b/>
                <w:sz w:val="28"/>
                <w:szCs w:val="28"/>
              </w:rPr>
              <w:t xml:space="preserve"> </w:t>
            </w:r>
            <w:r w:rsidRPr="00881F12">
              <w:rPr>
                <w:sz w:val="28"/>
                <w:szCs w:val="28"/>
              </w:rPr>
              <w:t xml:space="preserve">та на суму нарахованих доходів у вигляді дивідендів, що підлягають виплаті на його користь від інших платників цього податку (крім інститутів спільного інвестування та платників, прибуток яких звільняється від оподаткування відповідно до положень цього Кодексу, у розмірі прибутку, звільненого від оподаткування) </w:t>
            </w:r>
            <w:r w:rsidRPr="00881F12">
              <w:rPr>
                <w:b/>
                <w:strike/>
                <w:sz w:val="28"/>
                <w:szCs w:val="28"/>
              </w:rPr>
              <w:t>та платників єдиного податку;</w:t>
            </w:r>
          </w:p>
        </w:tc>
        <w:tc>
          <w:tcPr>
            <w:tcW w:w="2500" w:type="pct"/>
          </w:tcPr>
          <w:p w:rsidR="000F33AA" w:rsidRPr="00881F12" w:rsidRDefault="000F33AA" w:rsidP="00B21CDC">
            <w:pPr>
              <w:pStyle w:val="rvps2"/>
              <w:shd w:val="clear" w:color="auto" w:fill="FFFFFF"/>
              <w:spacing w:before="0" w:beforeAutospacing="0" w:after="0" w:afterAutospacing="0" w:line="259" w:lineRule="auto"/>
              <w:ind w:firstLine="450"/>
              <w:jc w:val="both"/>
              <w:textAlignment w:val="baseline"/>
              <w:rPr>
                <w:sz w:val="28"/>
                <w:szCs w:val="28"/>
              </w:rPr>
            </w:pPr>
            <w:r w:rsidRPr="00881F12">
              <w:rPr>
                <w:b/>
                <w:sz w:val="28"/>
                <w:szCs w:val="28"/>
              </w:rPr>
              <w:t>140.4.</w:t>
            </w:r>
            <w:r w:rsidRPr="00881F12">
              <w:rPr>
                <w:sz w:val="28"/>
                <w:szCs w:val="28"/>
              </w:rPr>
              <w:t xml:space="preserve"> Фінансовий результат до оподаткування зменшується:</w:t>
            </w:r>
          </w:p>
          <w:p w:rsidR="000F33AA" w:rsidRPr="00881F12" w:rsidRDefault="000F33AA" w:rsidP="00B21CDC">
            <w:pPr>
              <w:pStyle w:val="rvps2"/>
              <w:shd w:val="clear" w:color="auto" w:fill="FFFFFF"/>
              <w:spacing w:before="0" w:beforeAutospacing="0" w:after="0" w:afterAutospacing="0" w:line="259" w:lineRule="auto"/>
              <w:ind w:firstLine="450"/>
              <w:jc w:val="both"/>
              <w:textAlignment w:val="baseline"/>
              <w:rPr>
                <w:sz w:val="28"/>
                <w:szCs w:val="28"/>
              </w:rPr>
            </w:pPr>
            <w:r w:rsidRPr="00881F12">
              <w:rPr>
                <w:b/>
                <w:sz w:val="28"/>
                <w:szCs w:val="28"/>
              </w:rPr>
              <w:t>140.4.1.</w:t>
            </w:r>
            <w:r w:rsidRPr="00881F12">
              <w:rPr>
                <w:sz w:val="28"/>
                <w:szCs w:val="28"/>
              </w:rPr>
              <w:t xml:space="preserve"> на суму нарахованих доходів від участі в капіталі інших платників податку на прибуток підприємств, платників єдиного податку та на суму нарахованих доходів у вигляді дивідендів, що підлягають виплаті на його користь від інших платників цього податку (</w:t>
            </w:r>
            <w:proofErr w:type="spellStart"/>
            <w:r w:rsidRPr="00881F12">
              <w:rPr>
                <w:sz w:val="28"/>
                <w:szCs w:val="28"/>
              </w:rPr>
              <w:t>крі</w:t>
            </w:r>
            <w:proofErr w:type="spellEnd"/>
            <w:r w:rsidRPr="00881F12">
              <w:rPr>
                <w:sz w:val="28"/>
                <w:szCs w:val="28"/>
              </w:rPr>
              <w:t xml:space="preserve"> м інститутів спільного інвестування та платників, прибуток яких звільняється від оподаткування відповідно до положень цього Кодексу, у розмірі прибутку, звільненого від оподаткування).</w:t>
            </w:r>
          </w:p>
        </w:tc>
      </w:tr>
      <w:tr w:rsidR="000F33AA" w:rsidRPr="00881F12" w:rsidTr="00881F12">
        <w:tc>
          <w:tcPr>
            <w:tcW w:w="2500" w:type="pct"/>
          </w:tcPr>
          <w:p w:rsidR="000F33AA" w:rsidRPr="00881F12" w:rsidRDefault="000F33AA" w:rsidP="00B21CDC">
            <w:pPr>
              <w:pStyle w:val="rvps2"/>
              <w:shd w:val="clear" w:color="auto" w:fill="FFFFFF"/>
              <w:spacing w:before="0" w:beforeAutospacing="0" w:after="0" w:afterAutospacing="0" w:line="259" w:lineRule="auto"/>
              <w:ind w:firstLine="450"/>
              <w:jc w:val="both"/>
              <w:textAlignment w:val="baseline"/>
              <w:rPr>
                <w:b/>
                <w:sz w:val="28"/>
                <w:szCs w:val="28"/>
              </w:rPr>
            </w:pPr>
            <w:r w:rsidRPr="00881F12">
              <w:rPr>
                <w:color w:val="000000"/>
                <w:sz w:val="28"/>
                <w:szCs w:val="28"/>
                <w:shd w:val="clear" w:color="auto" w:fill="FFFFFF"/>
              </w:rPr>
              <w:t xml:space="preserve">140.5.12. на суму доходу, отриманого як оплата за товари (роботи, послуги), відвантажені (надані) під час </w:t>
            </w:r>
            <w:r w:rsidRPr="00881F12">
              <w:rPr>
                <w:color w:val="000000"/>
                <w:sz w:val="28"/>
                <w:szCs w:val="28"/>
                <w:shd w:val="clear" w:color="auto" w:fill="FFFFFF"/>
              </w:rPr>
              <w:lastRenderedPageBreak/>
              <w:t>перебування на спрощеній системі оподаткування.</w:t>
            </w:r>
            <w:r w:rsidRPr="00881F12">
              <w:rPr>
                <w:b/>
                <w:color w:val="000000"/>
                <w:sz w:val="28"/>
                <w:szCs w:val="28"/>
                <w:shd w:val="clear" w:color="auto" w:fill="FFFFFF"/>
              </w:rPr>
              <w:t xml:space="preserve"> Відсутнє</w:t>
            </w:r>
          </w:p>
        </w:tc>
        <w:tc>
          <w:tcPr>
            <w:tcW w:w="2500" w:type="pct"/>
          </w:tcPr>
          <w:p w:rsidR="000F33AA" w:rsidRPr="00881F12" w:rsidRDefault="000F33AA" w:rsidP="00881F12">
            <w:pPr>
              <w:pStyle w:val="rvps2"/>
              <w:shd w:val="clear" w:color="auto" w:fill="FFFFFF"/>
              <w:spacing w:before="0" w:beforeAutospacing="0" w:after="0" w:afterAutospacing="0" w:line="259" w:lineRule="auto"/>
              <w:ind w:firstLine="450"/>
              <w:jc w:val="both"/>
              <w:textAlignment w:val="baseline"/>
              <w:rPr>
                <w:b/>
                <w:color w:val="000000"/>
                <w:sz w:val="28"/>
                <w:szCs w:val="28"/>
                <w:shd w:val="clear" w:color="auto" w:fill="FFFFFF"/>
              </w:rPr>
            </w:pPr>
            <w:r w:rsidRPr="00881F12">
              <w:rPr>
                <w:color w:val="000000"/>
                <w:sz w:val="28"/>
                <w:szCs w:val="28"/>
                <w:shd w:val="clear" w:color="auto" w:fill="FFFFFF"/>
              </w:rPr>
              <w:lastRenderedPageBreak/>
              <w:t xml:space="preserve">140.5.12. на суму доходу, отриманого як оплата за товари (роботи, послуги), відвантажені (надані) під час </w:t>
            </w:r>
            <w:r w:rsidRPr="00881F12">
              <w:rPr>
                <w:color w:val="000000"/>
                <w:sz w:val="28"/>
                <w:szCs w:val="28"/>
                <w:shd w:val="clear" w:color="auto" w:fill="FFFFFF"/>
              </w:rPr>
              <w:lastRenderedPageBreak/>
              <w:t xml:space="preserve">перебування на спрощеній системі оподаткування. </w:t>
            </w:r>
            <w:r w:rsidRPr="00881F12">
              <w:rPr>
                <w:b/>
                <w:color w:val="000000"/>
                <w:sz w:val="28"/>
                <w:szCs w:val="28"/>
                <w:shd w:val="clear" w:color="auto" w:fill="FFFFFF"/>
              </w:rPr>
              <w:t>Положення цього підпункту не поширюються на платників податків, які були платниками єдиного податку четвертої групи.</w:t>
            </w:r>
          </w:p>
        </w:tc>
      </w:tr>
    </w:tbl>
    <w:p w:rsidR="000F33AA" w:rsidRPr="00881F12" w:rsidRDefault="000F33AA" w:rsidP="00881F12">
      <w:pPr>
        <w:pStyle w:val="rvps2"/>
        <w:shd w:val="clear" w:color="auto" w:fill="FFFFFF"/>
        <w:spacing w:before="0" w:beforeAutospacing="0" w:after="0" w:afterAutospacing="0" w:line="259" w:lineRule="auto"/>
        <w:ind w:firstLine="450"/>
        <w:jc w:val="both"/>
        <w:textAlignment w:val="baseline"/>
        <w:rPr>
          <w:color w:val="000000"/>
          <w:sz w:val="28"/>
          <w:szCs w:val="28"/>
          <w:shd w:val="clear" w:color="auto" w:fill="FFFFFF"/>
        </w:rPr>
      </w:pPr>
    </w:p>
    <w:p w:rsidR="00881F12" w:rsidRPr="00F80E0C" w:rsidRDefault="00881F12" w:rsidP="00F80E0C">
      <w:pPr>
        <w:pStyle w:val="rvps2"/>
        <w:shd w:val="clear" w:color="auto" w:fill="FFFFFF"/>
        <w:spacing w:before="0" w:beforeAutospacing="0" w:after="0" w:afterAutospacing="0" w:line="259" w:lineRule="auto"/>
        <w:ind w:firstLine="450"/>
        <w:jc w:val="both"/>
        <w:textAlignment w:val="baseline"/>
        <w:rPr>
          <w:color w:val="000000"/>
          <w:sz w:val="28"/>
          <w:szCs w:val="28"/>
          <w:shd w:val="clear" w:color="auto" w:fill="FFFFFF"/>
        </w:rPr>
      </w:pPr>
    </w:p>
    <w:p w:rsidR="00F80E0C" w:rsidRPr="00F80E0C" w:rsidRDefault="00881F12" w:rsidP="00F80E0C">
      <w:pPr>
        <w:jc w:val="right"/>
        <w:rPr>
          <w:rFonts w:ascii="Times New Roman" w:hAnsi="Times New Roman"/>
          <w:b/>
          <w:sz w:val="28"/>
          <w:szCs w:val="28"/>
          <w:shd w:val="clear" w:color="auto" w:fill="FFFFFF"/>
        </w:rPr>
      </w:pPr>
      <w:proofErr w:type="spellStart"/>
      <w:r w:rsidRPr="00F80E0C">
        <w:rPr>
          <w:rFonts w:ascii="Times New Roman" w:hAnsi="Times New Roman"/>
          <w:b/>
          <w:color w:val="000000"/>
          <w:sz w:val="28"/>
          <w:szCs w:val="28"/>
          <w:shd w:val="clear" w:color="auto" w:fill="FFFFFF"/>
        </w:rPr>
        <w:t>Народні</w:t>
      </w:r>
      <w:proofErr w:type="spellEnd"/>
      <w:r w:rsidRPr="00F80E0C">
        <w:rPr>
          <w:rFonts w:ascii="Times New Roman" w:hAnsi="Times New Roman"/>
          <w:b/>
          <w:color w:val="000000"/>
          <w:sz w:val="28"/>
          <w:szCs w:val="28"/>
          <w:shd w:val="clear" w:color="auto" w:fill="FFFFFF"/>
        </w:rPr>
        <w:t xml:space="preserve"> </w:t>
      </w:r>
      <w:proofErr w:type="spellStart"/>
      <w:r w:rsidRPr="00F80E0C">
        <w:rPr>
          <w:rFonts w:ascii="Times New Roman" w:hAnsi="Times New Roman"/>
          <w:b/>
          <w:color w:val="000000"/>
          <w:sz w:val="28"/>
          <w:szCs w:val="28"/>
          <w:shd w:val="clear" w:color="auto" w:fill="FFFFFF"/>
        </w:rPr>
        <w:t>депутати</w:t>
      </w:r>
      <w:proofErr w:type="spellEnd"/>
      <w:r w:rsidRPr="00F80E0C">
        <w:rPr>
          <w:rFonts w:ascii="Times New Roman" w:hAnsi="Times New Roman"/>
          <w:b/>
          <w:color w:val="000000"/>
          <w:sz w:val="28"/>
          <w:szCs w:val="28"/>
          <w:shd w:val="clear" w:color="auto" w:fill="FFFFFF"/>
        </w:rPr>
        <w:t xml:space="preserve"> </w:t>
      </w:r>
      <w:proofErr w:type="spellStart"/>
      <w:r w:rsidRPr="00F80E0C">
        <w:rPr>
          <w:rFonts w:ascii="Times New Roman" w:hAnsi="Times New Roman"/>
          <w:b/>
          <w:color w:val="000000"/>
          <w:sz w:val="28"/>
          <w:szCs w:val="28"/>
          <w:shd w:val="clear" w:color="auto" w:fill="FFFFFF"/>
        </w:rPr>
        <w:t>України</w:t>
      </w:r>
      <w:proofErr w:type="spellEnd"/>
      <w:r w:rsidR="00F80E0C" w:rsidRPr="00F80E0C">
        <w:rPr>
          <w:rFonts w:ascii="Times New Roman" w:hAnsi="Times New Roman"/>
          <w:b/>
          <w:color w:val="000000"/>
          <w:sz w:val="28"/>
          <w:szCs w:val="28"/>
          <w:shd w:val="clear" w:color="auto" w:fill="FFFFFF"/>
        </w:rPr>
        <w:t xml:space="preserve"> </w:t>
      </w:r>
      <w:r w:rsidR="00F80E0C">
        <w:rPr>
          <w:rFonts w:ascii="Times New Roman" w:hAnsi="Times New Roman"/>
          <w:b/>
          <w:color w:val="000000"/>
          <w:sz w:val="28"/>
          <w:szCs w:val="28"/>
          <w:shd w:val="clear" w:color="auto" w:fill="FFFFFF"/>
          <w:lang w:val="uk-UA"/>
        </w:rPr>
        <w:tab/>
      </w:r>
      <w:r w:rsidR="00F80E0C">
        <w:rPr>
          <w:rFonts w:ascii="Times New Roman" w:hAnsi="Times New Roman"/>
          <w:b/>
          <w:color w:val="000000"/>
          <w:sz w:val="28"/>
          <w:szCs w:val="28"/>
          <w:shd w:val="clear" w:color="auto" w:fill="FFFFFF"/>
          <w:lang w:val="uk-UA"/>
        </w:rPr>
        <w:tab/>
      </w:r>
      <w:r w:rsidR="00F80E0C">
        <w:rPr>
          <w:rFonts w:ascii="Times New Roman" w:hAnsi="Times New Roman"/>
          <w:b/>
          <w:color w:val="000000"/>
          <w:sz w:val="28"/>
          <w:szCs w:val="28"/>
          <w:shd w:val="clear" w:color="auto" w:fill="FFFFFF"/>
          <w:lang w:val="uk-UA"/>
        </w:rPr>
        <w:tab/>
      </w:r>
      <w:r w:rsidR="00F80E0C">
        <w:rPr>
          <w:rFonts w:ascii="Times New Roman" w:hAnsi="Times New Roman"/>
          <w:b/>
          <w:color w:val="000000"/>
          <w:sz w:val="28"/>
          <w:szCs w:val="28"/>
          <w:shd w:val="clear" w:color="auto" w:fill="FFFFFF"/>
          <w:lang w:val="uk-UA"/>
        </w:rPr>
        <w:tab/>
      </w:r>
      <w:r w:rsidR="00F80E0C">
        <w:rPr>
          <w:rFonts w:ascii="Times New Roman" w:hAnsi="Times New Roman"/>
          <w:b/>
          <w:color w:val="000000"/>
          <w:sz w:val="28"/>
          <w:szCs w:val="28"/>
          <w:shd w:val="clear" w:color="auto" w:fill="FFFFFF"/>
          <w:lang w:val="uk-UA"/>
        </w:rPr>
        <w:tab/>
      </w:r>
      <w:r w:rsidR="00F80E0C">
        <w:rPr>
          <w:rFonts w:ascii="Times New Roman" w:hAnsi="Times New Roman"/>
          <w:b/>
          <w:color w:val="000000"/>
          <w:sz w:val="28"/>
          <w:szCs w:val="28"/>
          <w:shd w:val="clear" w:color="auto" w:fill="FFFFFF"/>
          <w:lang w:val="uk-UA"/>
        </w:rPr>
        <w:tab/>
      </w:r>
      <w:r w:rsidR="00F80E0C">
        <w:rPr>
          <w:rFonts w:ascii="Times New Roman" w:hAnsi="Times New Roman"/>
          <w:b/>
          <w:color w:val="000000"/>
          <w:sz w:val="28"/>
          <w:szCs w:val="28"/>
          <w:shd w:val="clear" w:color="auto" w:fill="FFFFFF"/>
          <w:lang w:val="uk-UA"/>
        </w:rPr>
        <w:tab/>
      </w:r>
      <w:r w:rsidR="00F80E0C">
        <w:rPr>
          <w:rFonts w:ascii="Times New Roman" w:hAnsi="Times New Roman"/>
          <w:b/>
          <w:color w:val="000000"/>
          <w:sz w:val="28"/>
          <w:szCs w:val="28"/>
          <w:shd w:val="clear" w:color="auto" w:fill="FFFFFF"/>
          <w:lang w:val="uk-UA"/>
        </w:rPr>
        <w:tab/>
      </w:r>
      <w:r w:rsidR="00F80E0C">
        <w:rPr>
          <w:rFonts w:ascii="Times New Roman" w:hAnsi="Times New Roman"/>
          <w:b/>
          <w:color w:val="000000"/>
          <w:sz w:val="28"/>
          <w:szCs w:val="28"/>
          <w:shd w:val="clear" w:color="auto" w:fill="FFFFFF"/>
          <w:lang w:val="uk-UA"/>
        </w:rPr>
        <w:tab/>
      </w:r>
      <w:r w:rsidR="00F80E0C">
        <w:rPr>
          <w:rFonts w:ascii="Times New Roman" w:hAnsi="Times New Roman"/>
          <w:b/>
          <w:color w:val="000000"/>
          <w:sz w:val="28"/>
          <w:szCs w:val="28"/>
          <w:shd w:val="clear" w:color="auto" w:fill="FFFFFF"/>
          <w:lang w:val="uk-UA"/>
        </w:rPr>
        <w:tab/>
      </w:r>
      <w:r w:rsidR="00F80E0C">
        <w:rPr>
          <w:rFonts w:ascii="Times New Roman" w:hAnsi="Times New Roman"/>
          <w:b/>
          <w:color w:val="000000"/>
          <w:sz w:val="28"/>
          <w:szCs w:val="28"/>
          <w:shd w:val="clear" w:color="auto" w:fill="FFFFFF"/>
          <w:lang w:val="uk-UA"/>
        </w:rPr>
        <w:tab/>
      </w:r>
      <w:proofErr w:type="spellStart"/>
      <w:r w:rsidR="00F80E0C" w:rsidRPr="00F80E0C">
        <w:rPr>
          <w:rFonts w:ascii="Times New Roman" w:hAnsi="Times New Roman"/>
          <w:b/>
          <w:sz w:val="28"/>
          <w:szCs w:val="28"/>
          <w:shd w:val="clear" w:color="auto" w:fill="FFFFFF"/>
        </w:rPr>
        <w:t>Кришин</w:t>
      </w:r>
      <w:proofErr w:type="spellEnd"/>
      <w:r w:rsidR="00F80E0C" w:rsidRPr="00F80E0C">
        <w:rPr>
          <w:rFonts w:ascii="Times New Roman" w:hAnsi="Times New Roman"/>
          <w:b/>
          <w:sz w:val="28"/>
          <w:szCs w:val="28"/>
          <w:shd w:val="clear" w:color="auto" w:fill="FFFFFF"/>
        </w:rPr>
        <w:t xml:space="preserve"> О.Ю.(</w:t>
      </w:r>
      <w:proofErr w:type="spellStart"/>
      <w:r w:rsidR="00F80E0C" w:rsidRPr="00F80E0C">
        <w:rPr>
          <w:rFonts w:ascii="Times New Roman" w:hAnsi="Times New Roman"/>
          <w:b/>
          <w:sz w:val="28"/>
          <w:szCs w:val="28"/>
          <w:shd w:val="clear" w:color="auto" w:fill="FFFFFF"/>
        </w:rPr>
        <w:t>посв</w:t>
      </w:r>
      <w:proofErr w:type="spellEnd"/>
      <w:r w:rsidR="00F80E0C" w:rsidRPr="00F80E0C">
        <w:rPr>
          <w:rFonts w:ascii="Times New Roman" w:hAnsi="Times New Roman"/>
          <w:b/>
          <w:sz w:val="28"/>
          <w:szCs w:val="28"/>
          <w:shd w:val="clear" w:color="auto" w:fill="FFFFFF"/>
        </w:rPr>
        <w:t>. №249)</w:t>
      </w:r>
    </w:p>
    <w:p w:rsidR="00F80E0C" w:rsidRPr="00F80E0C" w:rsidRDefault="00F80E0C" w:rsidP="00F80E0C">
      <w:pPr>
        <w:ind w:firstLine="10632"/>
        <w:jc w:val="right"/>
        <w:rPr>
          <w:rFonts w:ascii="Times New Roman" w:hAnsi="Times New Roman"/>
          <w:b/>
          <w:sz w:val="28"/>
          <w:szCs w:val="28"/>
          <w:shd w:val="clear" w:color="auto" w:fill="FFFFFF"/>
        </w:rPr>
      </w:pPr>
      <w:r w:rsidRPr="00F80E0C">
        <w:rPr>
          <w:rFonts w:ascii="Times New Roman" w:hAnsi="Times New Roman"/>
          <w:b/>
          <w:sz w:val="28"/>
          <w:szCs w:val="28"/>
          <w:shd w:val="clear" w:color="auto" w:fill="FFFFFF"/>
        </w:rPr>
        <w:t>Продан О.П. (</w:t>
      </w:r>
      <w:proofErr w:type="spellStart"/>
      <w:r w:rsidRPr="00F80E0C">
        <w:rPr>
          <w:rFonts w:ascii="Times New Roman" w:hAnsi="Times New Roman"/>
          <w:b/>
          <w:sz w:val="28"/>
          <w:szCs w:val="28"/>
          <w:shd w:val="clear" w:color="auto" w:fill="FFFFFF"/>
        </w:rPr>
        <w:t>посв.№</w:t>
      </w:r>
      <w:proofErr w:type="spellEnd"/>
      <w:r w:rsidRPr="00F80E0C">
        <w:rPr>
          <w:rFonts w:ascii="Times New Roman" w:hAnsi="Times New Roman"/>
          <w:b/>
          <w:sz w:val="28"/>
          <w:szCs w:val="28"/>
          <w:shd w:val="clear" w:color="auto" w:fill="FFFFFF"/>
        </w:rPr>
        <w:t> 079)</w:t>
      </w:r>
    </w:p>
    <w:p w:rsidR="00F80E0C" w:rsidRPr="00F80E0C" w:rsidRDefault="00F80E0C" w:rsidP="00F80E0C">
      <w:pPr>
        <w:ind w:firstLine="10632"/>
        <w:jc w:val="right"/>
        <w:rPr>
          <w:rFonts w:ascii="Times New Roman" w:hAnsi="Times New Roman"/>
          <w:b/>
          <w:sz w:val="28"/>
          <w:szCs w:val="28"/>
          <w:shd w:val="clear" w:color="auto" w:fill="FFFFFF"/>
        </w:rPr>
      </w:pPr>
      <w:r w:rsidRPr="00F80E0C">
        <w:rPr>
          <w:rFonts w:ascii="Times New Roman" w:hAnsi="Times New Roman"/>
          <w:b/>
          <w:sz w:val="28"/>
          <w:szCs w:val="28"/>
          <w:shd w:val="clear" w:color="auto" w:fill="FFFFFF"/>
        </w:rPr>
        <w:t>Кулініч О.І (</w:t>
      </w:r>
      <w:proofErr w:type="spellStart"/>
      <w:r w:rsidRPr="00F80E0C">
        <w:rPr>
          <w:rFonts w:ascii="Times New Roman" w:hAnsi="Times New Roman"/>
          <w:b/>
          <w:sz w:val="28"/>
          <w:szCs w:val="28"/>
          <w:shd w:val="clear" w:color="auto" w:fill="FFFFFF"/>
        </w:rPr>
        <w:t>посв</w:t>
      </w:r>
      <w:proofErr w:type="spellEnd"/>
      <w:r w:rsidRPr="00F80E0C">
        <w:rPr>
          <w:rFonts w:ascii="Times New Roman" w:hAnsi="Times New Roman"/>
          <w:b/>
          <w:sz w:val="28"/>
          <w:szCs w:val="28"/>
          <w:shd w:val="clear" w:color="auto" w:fill="FFFFFF"/>
        </w:rPr>
        <w:t> №345)</w:t>
      </w:r>
    </w:p>
    <w:p w:rsidR="00881F12" w:rsidRPr="00F80E0C" w:rsidRDefault="00881F12" w:rsidP="00881F12">
      <w:pPr>
        <w:pStyle w:val="rvps2"/>
        <w:shd w:val="clear" w:color="auto" w:fill="FFFFFF"/>
        <w:spacing w:before="0" w:beforeAutospacing="0" w:after="0" w:afterAutospacing="0" w:line="259" w:lineRule="auto"/>
        <w:ind w:firstLine="450"/>
        <w:jc w:val="both"/>
        <w:textAlignment w:val="baseline"/>
        <w:rPr>
          <w:b/>
          <w:color w:val="000000"/>
          <w:sz w:val="28"/>
          <w:szCs w:val="28"/>
          <w:shd w:val="clear" w:color="auto" w:fill="FFFFFF"/>
          <w:lang w:val="ru-RU"/>
        </w:rPr>
      </w:pPr>
    </w:p>
    <w:sectPr w:rsidR="00881F12" w:rsidRPr="00F80E0C" w:rsidSect="000F33AA">
      <w:footerReference w:type="default" r:id="rId12"/>
      <w:pgSz w:w="16838" w:h="11906" w:orient="landscape"/>
      <w:pgMar w:top="1701"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CEB" w:rsidRDefault="00E56CEB" w:rsidP="00B05B89">
      <w:pPr>
        <w:spacing w:after="0" w:line="240" w:lineRule="auto"/>
      </w:pPr>
      <w:r>
        <w:separator/>
      </w:r>
    </w:p>
  </w:endnote>
  <w:endnote w:type="continuationSeparator" w:id="0">
    <w:p w:rsidR="00E56CEB" w:rsidRDefault="00E56CEB" w:rsidP="00B05B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 w:val="24"/>
        <w:szCs w:val="24"/>
      </w:rPr>
      <w:id w:val="785313279"/>
      <w:docPartObj>
        <w:docPartGallery w:val="Page Numbers (Bottom of Page)"/>
        <w:docPartUnique/>
      </w:docPartObj>
    </w:sdtPr>
    <w:sdtContent>
      <w:p w:rsidR="00B05B89" w:rsidRPr="00B05B89" w:rsidRDefault="00904964" w:rsidP="00B05B89">
        <w:pPr>
          <w:pStyle w:val="a5"/>
          <w:jc w:val="right"/>
          <w:rPr>
            <w:rFonts w:ascii="Times New Roman" w:hAnsi="Times New Roman"/>
            <w:sz w:val="24"/>
            <w:szCs w:val="24"/>
          </w:rPr>
        </w:pPr>
        <w:r w:rsidRPr="00B05B89">
          <w:rPr>
            <w:rFonts w:ascii="Times New Roman" w:hAnsi="Times New Roman"/>
            <w:sz w:val="24"/>
            <w:szCs w:val="24"/>
          </w:rPr>
          <w:fldChar w:fldCharType="begin"/>
        </w:r>
        <w:r w:rsidR="00B05B89" w:rsidRPr="00B05B89">
          <w:rPr>
            <w:rFonts w:ascii="Times New Roman" w:hAnsi="Times New Roman"/>
            <w:sz w:val="24"/>
            <w:szCs w:val="24"/>
          </w:rPr>
          <w:instrText>PAGE   \* MERGEFORMAT</w:instrText>
        </w:r>
        <w:r w:rsidRPr="00B05B89">
          <w:rPr>
            <w:rFonts w:ascii="Times New Roman" w:hAnsi="Times New Roman"/>
            <w:sz w:val="24"/>
            <w:szCs w:val="24"/>
          </w:rPr>
          <w:fldChar w:fldCharType="separate"/>
        </w:r>
        <w:r w:rsidR="00653FC3">
          <w:rPr>
            <w:rFonts w:ascii="Times New Roman" w:hAnsi="Times New Roman"/>
            <w:noProof/>
            <w:sz w:val="24"/>
            <w:szCs w:val="24"/>
          </w:rPr>
          <w:t>4</w:t>
        </w:r>
        <w:r w:rsidRPr="00B05B89">
          <w:rPr>
            <w:rFonts w:ascii="Times New Roman" w:hAnsi="Times New Roman"/>
            <w:sz w:val="24"/>
            <w:szCs w:val="24"/>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CEB" w:rsidRDefault="00E56CEB" w:rsidP="00B05B89">
      <w:pPr>
        <w:spacing w:after="0" w:line="240" w:lineRule="auto"/>
      </w:pPr>
      <w:r>
        <w:separator/>
      </w:r>
    </w:p>
  </w:footnote>
  <w:footnote w:type="continuationSeparator" w:id="0">
    <w:p w:rsidR="00E56CEB" w:rsidRDefault="00E56CEB" w:rsidP="00B05B8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F33AA"/>
    <w:rsid w:val="000F33AA"/>
    <w:rsid w:val="001876CE"/>
    <w:rsid w:val="002C52A6"/>
    <w:rsid w:val="00341EDA"/>
    <w:rsid w:val="0037761A"/>
    <w:rsid w:val="0052541E"/>
    <w:rsid w:val="00653FC3"/>
    <w:rsid w:val="00722647"/>
    <w:rsid w:val="00881F12"/>
    <w:rsid w:val="009031C2"/>
    <w:rsid w:val="00904964"/>
    <w:rsid w:val="009B5D9F"/>
    <w:rsid w:val="009B64C3"/>
    <w:rsid w:val="00B05B89"/>
    <w:rsid w:val="00E56CEB"/>
    <w:rsid w:val="00F436AB"/>
    <w:rsid w:val="00F80E0C"/>
    <w:rsid w:val="00FC73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33AA"/>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0F33AA"/>
    <w:pPr>
      <w:spacing w:before="100" w:beforeAutospacing="1" w:after="100" w:afterAutospacing="1" w:line="240" w:lineRule="auto"/>
    </w:pPr>
    <w:rPr>
      <w:rFonts w:ascii="Times New Roman" w:hAnsi="Times New Roman"/>
      <w:sz w:val="24"/>
      <w:szCs w:val="24"/>
      <w:lang w:val="uk-UA" w:eastAsia="uk-UA"/>
    </w:rPr>
  </w:style>
  <w:style w:type="paragraph" w:styleId="a3">
    <w:name w:val="header"/>
    <w:basedOn w:val="a"/>
    <w:link w:val="a4"/>
    <w:uiPriority w:val="99"/>
    <w:unhideWhenUsed/>
    <w:rsid w:val="00B05B8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05B89"/>
    <w:rPr>
      <w:rFonts w:ascii="Calibri" w:eastAsia="Times New Roman" w:hAnsi="Calibri" w:cs="Times New Roman"/>
    </w:rPr>
  </w:style>
  <w:style w:type="paragraph" w:styleId="a5">
    <w:name w:val="footer"/>
    <w:basedOn w:val="a"/>
    <w:link w:val="a6"/>
    <w:uiPriority w:val="99"/>
    <w:unhideWhenUsed/>
    <w:rsid w:val="00B05B8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05B89"/>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laws/show/2755-17/print1480433082082348"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zakon0.rada.gov.ua/laws/show/2755-17/print1480433082082348"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0.rada.gov.ua/laws/show/z1415-15/paran20" TargetMode="External"/><Relationship Id="rId11" Type="http://schemas.openxmlformats.org/officeDocument/2006/relationships/hyperlink" Target="http://zakon2.rada.gov.ua/laws/show/2755-17/print1493194295460850" TargetMode="External"/><Relationship Id="rId5" Type="http://schemas.openxmlformats.org/officeDocument/2006/relationships/endnotes" Target="endnotes.xml"/><Relationship Id="rId10" Type="http://schemas.openxmlformats.org/officeDocument/2006/relationships/hyperlink" Target="http://zakon2.rada.gov.ua/laws/show/2755-17/print1493194295460850" TargetMode="External"/><Relationship Id="rId4" Type="http://schemas.openxmlformats.org/officeDocument/2006/relationships/footnotes" Target="footnotes.xml"/><Relationship Id="rId9" Type="http://schemas.openxmlformats.org/officeDocument/2006/relationships/hyperlink" Target="http://zakon0.rada.gov.ua/laws/show/z1415-15/paran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1285</Words>
  <Characters>7325</Characters>
  <Application>Microsoft Office Word</Application>
  <DocSecurity>0</DocSecurity>
  <Lines>61</Lines>
  <Paragraphs>17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8593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депутат</dc:creator>
  <cp:keywords/>
  <dc:description/>
  <cp:lastModifiedBy>Марина</cp:lastModifiedBy>
  <cp:revision>4</cp:revision>
  <dcterms:created xsi:type="dcterms:W3CDTF">2017-09-08T10:43:00Z</dcterms:created>
  <dcterms:modified xsi:type="dcterms:W3CDTF">2017-09-21T08:40:00Z</dcterms:modified>
</cp:coreProperties>
</file>