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CF1" w:rsidRPr="00666CF1" w:rsidRDefault="00666CF1" w:rsidP="00666CF1">
      <w:pPr>
        <w:ind w:left="5954" w:firstLine="6"/>
        <w:jc w:val="center"/>
        <w:rPr>
          <w:rFonts w:ascii="Times New Roman" w:hAnsi="Times New Roman" w:cs="Times New Roman"/>
          <w:sz w:val="20"/>
          <w:szCs w:val="20"/>
        </w:rPr>
      </w:pPr>
      <w:bookmarkStart w:id="0" w:name="_GoBack"/>
      <w:bookmarkEnd w:id="0"/>
      <w:r w:rsidRPr="00666CF1">
        <w:rPr>
          <w:rFonts w:ascii="Times New Roman" w:hAnsi="Times New Roman" w:cs="Times New Roman"/>
          <w:sz w:val="20"/>
          <w:szCs w:val="20"/>
        </w:rPr>
        <w:t>До реєстр. № 6275-д від 24.01.2018 р.</w:t>
      </w:r>
      <w:r w:rsidRPr="00666CF1">
        <w:rPr>
          <w:rFonts w:ascii="Times New Roman" w:hAnsi="Times New Roman" w:cs="Times New Roman"/>
          <w:sz w:val="20"/>
          <w:szCs w:val="20"/>
        </w:rPr>
        <w:br/>
        <w:t>(повторне друге читання)</w:t>
      </w:r>
    </w:p>
    <w:p w:rsidR="00666CF1" w:rsidRPr="00666CF1" w:rsidRDefault="00666CF1" w:rsidP="00666CF1">
      <w:pPr>
        <w:ind w:left="5529" w:firstLine="6"/>
        <w:jc w:val="center"/>
        <w:rPr>
          <w:rFonts w:ascii="Times New Roman" w:hAnsi="Times New Roman" w:cs="Times New Roman"/>
          <w:sz w:val="28"/>
          <w:szCs w:val="28"/>
        </w:rPr>
      </w:pPr>
    </w:p>
    <w:p w:rsidR="00666CF1" w:rsidRPr="00666CF1" w:rsidRDefault="00666CF1" w:rsidP="00666CF1">
      <w:pPr>
        <w:jc w:val="center"/>
        <w:rPr>
          <w:rFonts w:ascii="Times New Roman" w:hAnsi="Times New Roman" w:cs="Times New Roman"/>
          <w:sz w:val="28"/>
          <w:szCs w:val="28"/>
        </w:rPr>
      </w:pPr>
    </w:p>
    <w:p w:rsidR="00666CF1" w:rsidRPr="00666CF1" w:rsidRDefault="00666CF1" w:rsidP="00666CF1">
      <w:pPr>
        <w:jc w:val="center"/>
        <w:rPr>
          <w:rFonts w:ascii="Times New Roman" w:hAnsi="Times New Roman" w:cs="Times New Roman"/>
          <w:sz w:val="28"/>
          <w:szCs w:val="28"/>
        </w:rPr>
      </w:pPr>
    </w:p>
    <w:p w:rsidR="00666CF1" w:rsidRPr="00666CF1" w:rsidRDefault="00666CF1" w:rsidP="00666CF1">
      <w:pPr>
        <w:jc w:val="center"/>
        <w:rPr>
          <w:rFonts w:ascii="Times New Roman" w:hAnsi="Times New Roman" w:cs="Times New Roman"/>
          <w:sz w:val="28"/>
          <w:szCs w:val="28"/>
        </w:rPr>
      </w:pPr>
    </w:p>
    <w:p w:rsidR="00666CF1" w:rsidRPr="00666CF1" w:rsidRDefault="00666CF1" w:rsidP="00666CF1">
      <w:pPr>
        <w:jc w:val="center"/>
        <w:rPr>
          <w:rFonts w:ascii="Times New Roman" w:hAnsi="Times New Roman" w:cs="Times New Roman"/>
          <w:sz w:val="28"/>
          <w:szCs w:val="28"/>
        </w:rPr>
      </w:pPr>
    </w:p>
    <w:p w:rsidR="00666CF1" w:rsidRPr="00666CF1" w:rsidRDefault="00666CF1" w:rsidP="00666CF1">
      <w:pPr>
        <w:jc w:val="center"/>
        <w:rPr>
          <w:rFonts w:ascii="Times New Roman" w:hAnsi="Times New Roman" w:cs="Times New Roman"/>
          <w:sz w:val="28"/>
          <w:szCs w:val="28"/>
        </w:rPr>
      </w:pPr>
    </w:p>
    <w:p w:rsidR="00666CF1" w:rsidRPr="00666CF1" w:rsidRDefault="00666CF1" w:rsidP="00666CF1">
      <w:pPr>
        <w:jc w:val="center"/>
        <w:rPr>
          <w:rFonts w:ascii="Times New Roman" w:hAnsi="Times New Roman" w:cs="Times New Roman"/>
          <w:sz w:val="28"/>
          <w:szCs w:val="28"/>
        </w:rPr>
      </w:pPr>
    </w:p>
    <w:p w:rsidR="00666CF1" w:rsidRPr="00666CF1" w:rsidRDefault="00666CF1" w:rsidP="00666CF1">
      <w:pPr>
        <w:jc w:val="center"/>
        <w:rPr>
          <w:rFonts w:ascii="Times New Roman" w:hAnsi="Times New Roman" w:cs="Times New Roman"/>
          <w:sz w:val="28"/>
          <w:szCs w:val="28"/>
        </w:rPr>
      </w:pPr>
    </w:p>
    <w:p w:rsidR="00666CF1" w:rsidRPr="00666CF1" w:rsidRDefault="00666CF1" w:rsidP="00666CF1">
      <w:pPr>
        <w:jc w:val="center"/>
        <w:rPr>
          <w:rFonts w:ascii="Times New Roman" w:hAnsi="Times New Roman" w:cs="Times New Roman"/>
          <w:sz w:val="28"/>
          <w:szCs w:val="28"/>
        </w:rPr>
      </w:pPr>
    </w:p>
    <w:p w:rsidR="00666CF1" w:rsidRPr="00666CF1" w:rsidRDefault="00666CF1" w:rsidP="00666CF1">
      <w:pPr>
        <w:jc w:val="center"/>
        <w:rPr>
          <w:rFonts w:ascii="Times New Roman" w:hAnsi="Times New Roman" w:cs="Times New Roman"/>
          <w:sz w:val="28"/>
          <w:szCs w:val="28"/>
        </w:rPr>
      </w:pPr>
    </w:p>
    <w:p w:rsidR="00666CF1" w:rsidRPr="00666CF1" w:rsidRDefault="00666CF1" w:rsidP="00666CF1">
      <w:pPr>
        <w:spacing w:after="60"/>
        <w:ind w:right="85"/>
        <w:jc w:val="center"/>
        <w:rPr>
          <w:rFonts w:ascii="Times New Roman" w:hAnsi="Times New Roman" w:cs="Times New Roman"/>
          <w:b/>
          <w:sz w:val="28"/>
          <w:szCs w:val="28"/>
        </w:rPr>
      </w:pPr>
      <w:r w:rsidRPr="00666CF1">
        <w:rPr>
          <w:rFonts w:ascii="Times New Roman" w:hAnsi="Times New Roman" w:cs="Times New Roman"/>
          <w:b/>
          <w:sz w:val="28"/>
          <w:szCs w:val="28"/>
        </w:rPr>
        <w:t>ЗАУВАЖЕННЯ</w:t>
      </w:r>
    </w:p>
    <w:p w:rsidR="00666CF1" w:rsidRPr="00666CF1" w:rsidRDefault="00666CF1" w:rsidP="00666CF1">
      <w:pPr>
        <w:pStyle w:val="3"/>
        <w:spacing w:before="0" w:beforeAutospacing="0" w:after="0" w:afterAutospacing="0"/>
        <w:jc w:val="center"/>
        <w:rPr>
          <w:b w:val="0"/>
          <w:sz w:val="28"/>
          <w:szCs w:val="28"/>
        </w:rPr>
      </w:pPr>
      <w:r w:rsidRPr="00666CF1">
        <w:rPr>
          <w:b w:val="0"/>
          <w:sz w:val="28"/>
          <w:szCs w:val="28"/>
        </w:rPr>
        <w:t xml:space="preserve">до проекту Закону України про </w:t>
      </w:r>
      <w:r w:rsidRPr="00666CF1">
        <w:rPr>
          <w:b w:val="0"/>
          <w:color w:val="000000"/>
          <w:sz w:val="28"/>
          <w:szCs w:val="28"/>
        </w:rPr>
        <w:t>внесення змін до деяких законодавчих актів України щодо провадження господарської діяльності з посередництва у працевлаштуванні за кордоном</w:t>
      </w:r>
    </w:p>
    <w:p w:rsidR="00666CF1" w:rsidRPr="00666CF1" w:rsidRDefault="00666CF1" w:rsidP="00666CF1">
      <w:pPr>
        <w:jc w:val="center"/>
        <w:rPr>
          <w:rFonts w:ascii="Times New Roman" w:hAnsi="Times New Roman" w:cs="Times New Roman"/>
          <w:sz w:val="28"/>
          <w:szCs w:val="28"/>
        </w:rPr>
      </w:pPr>
      <w:r w:rsidRPr="00666CF1">
        <w:rPr>
          <w:rFonts w:ascii="Times New Roman" w:hAnsi="Times New Roman" w:cs="Times New Roman"/>
          <w:sz w:val="28"/>
          <w:szCs w:val="28"/>
        </w:rPr>
        <w:t>(реєстр. № 6275-д)</w:t>
      </w:r>
    </w:p>
    <w:p w:rsidR="00666CF1" w:rsidRPr="00666CF1" w:rsidRDefault="00666CF1" w:rsidP="00666CF1">
      <w:pPr>
        <w:tabs>
          <w:tab w:val="left" w:pos="993"/>
          <w:tab w:val="left" w:pos="1134"/>
        </w:tabs>
        <w:spacing w:after="100"/>
        <w:jc w:val="both"/>
        <w:rPr>
          <w:rFonts w:ascii="Times New Roman" w:hAnsi="Times New Roman" w:cs="Times New Roman"/>
          <w:sz w:val="28"/>
          <w:szCs w:val="28"/>
        </w:rPr>
      </w:pPr>
    </w:p>
    <w:p w:rsidR="00C857C0" w:rsidRPr="00666CF1" w:rsidRDefault="00666CF1"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У Головному юридичному управлінні розглянуто зазначений законопроект, підготовлений Комітетом Верховної Ради України з питань соціальної політики, зайнятості та пенсійного забезпечення до повторного другого читання, та висловлюються наступні зауваження</w:t>
      </w:r>
      <w:r w:rsidR="00C857C0" w:rsidRPr="00666CF1">
        <w:rPr>
          <w:rFonts w:ascii="Times New Roman" w:hAnsi="Times New Roman" w:cs="Times New Roman"/>
          <w:sz w:val="28"/>
          <w:szCs w:val="28"/>
        </w:rPr>
        <w:t xml:space="preserve"> і пропозиції.</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1.Проектом пропонується доповнити Кодекс України про адміністративні правопорушення новою статтею 230</w:t>
      </w:r>
      <w:r w:rsidRPr="00666CF1">
        <w:rPr>
          <w:rFonts w:ascii="Times New Roman" w:hAnsi="Times New Roman" w:cs="Times New Roman"/>
          <w:sz w:val="28"/>
          <w:szCs w:val="28"/>
          <w:vertAlign w:val="superscript"/>
        </w:rPr>
        <w:t>2</w:t>
      </w:r>
      <w:r w:rsidRPr="00666CF1">
        <w:rPr>
          <w:rFonts w:ascii="Times New Roman" w:hAnsi="Times New Roman" w:cs="Times New Roman"/>
          <w:sz w:val="28"/>
          <w:szCs w:val="28"/>
        </w:rPr>
        <w:t>, відповідно до якої центральному органу виконавчої влади, що забезпечує формування та реалізує державну політику у сфері зайнятості населення та трудової міграції надається право розглядати справи про адміністративні правопорушення, передбачені статтею 188</w:t>
      </w:r>
      <w:r w:rsidRPr="00666CF1">
        <w:rPr>
          <w:rFonts w:ascii="Times New Roman" w:hAnsi="Times New Roman" w:cs="Times New Roman"/>
          <w:sz w:val="28"/>
          <w:szCs w:val="28"/>
          <w:vertAlign w:val="superscript"/>
        </w:rPr>
        <w:t>5</w:t>
      </w:r>
      <w:r w:rsidR="00666CF1">
        <w:rPr>
          <w:rFonts w:ascii="Times New Roman" w:hAnsi="Times New Roman" w:cs="Times New Roman"/>
          <w:sz w:val="28"/>
          <w:szCs w:val="28"/>
          <w:vertAlign w:val="superscript"/>
        </w:rPr>
        <w:t>2</w:t>
      </w:r>
      <w:r w:rsidRPr="00666CF1">
        <w:rPr>
          <w:rFonts w:ascii="Times New Roman" w:hAnsi="Times New Roman" w:cs="Times New Roman"/>
          <w:sz w:val="28"/>
          <w:szCs w:val="28"/>
        </w:rPr>
        <w:t xml:space="preserve"> цього Кодексу. Від імені центрального органу розглядати справи і накладати адміністративні стягнення мають право, зокрема,  уповноважені керівником посадові особи. Проте така редакція не відповідає приписам статті 19 Конституції України, відповідно до якої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2. Відповідно до абзацу четвертого частини першої статті 38 Закону України «Про зайнятість населення» (в редакції проекту) «особа, яка має судимість за злочини, передбачені статтями 143, 146, 149, 150, 151</w:t>
      </w:r>
      <w:r w:rsidRPr="00666CF1">
        <w:rPr>
          <w:rFonts w:ascii="Times New Roman" w:hAnsi="Times New Roman" w:cs="Times New Roman"/>
          <w:sz w:val="28"/>
          <w:szCs w:val="28"/>
          <w:vertAlign w:val="superscript"/>
        </w:rPr>
        <w:t>1</w:t>
      </w:r>
      <w:r w:rsidRPr="00666CF1">
        <w:rPr>
          <w:rFonts w:ascii="Times New Roman" w:hAnsi="Times New Roman" w:cs="Times New Roman"/>
          <w:sz w:val="28"/>
          <w:szCs w:val="28"/>
        </w:rPr>
        <w:t>, 166, 167, 169, 172, 173, 175, 190, 271,301, 303, 304, 332 або 364 Кримінального кодексу України, не може бути фізичною особою-підприємцем чи входити до складу керівного органу або наглядової ради чи бути уповноваженим представником юридичної особи, що провадять господарську діяльність з посередництва у працевлаштуванні за кордоном».</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 xml:space="preserve">Проте необхідно зазначити, що такі положення не узгоджуються із статтею 42 Конституції України, за якою кожен має право на підприємницьку діяльність, яка не заборонена законом. Статтею 42 Конституції України, положення якої є нормами прямої дії (стаття 8 Конституції України), не передбачено можливості </w:t>
      </w:r>
      <w:r w:rsidRPr="00666CF1">
        <w:rPr>
          <w:rFonts w:ascii="Times New Roman" w:hAnsi="Times New Roman" w:cs="Times New Roman"/>
          <w:sz w:val="28"/>
          <w:szCs w:val="28"/>
        </w:rPr>
        <w:lastRenderedPageBreak/>
        <w:t>встановлення законом обмежень для засуджених осіб у здійсненні їх права на підприємницьку діяльність.</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 xml:space="preserve">Разом з тим у частині третій статті 63 Конституції України закріплено, що засуджений користується всіма правами людини і громадянина, за винятком обмежень, які визначені законом і встановлені </w:t>
      </w:r>
      <w:proofErr w:type="spellStart"/>
      <w:r w:rsidRPr="00666CF1">
        <w:rPr>
          <w:rFonts w:ascii="Times New Roman" w:hAnsi="Times New Roman" w:cs="Times New Roman"/>
          <w:sz w:val="28"/>
          <w:szCs w:val="28"/>
        </w:rPr>
        <w:t>вироком</w:t>
      </w:r>
      <w:proofErr w:type="spellEnd"/>
      <w:r w:rsidRPr="00666CF1">
        <w:rPr>
          <w:rFonts w:ascii="Times New Roman" w:hAnsi="Times New Roman" w:cs="Times New Roman"/>
          <w:sz w:val="28"/>
          <w:szCs w:val="28"/>
        </w:rPr>
        <w:t xml:space="preserve"> суду. Оскільки обмеження, пов’язані із засудженням, є винятком із загального правового положення особи, то вони можуть застосовуватися лише за рішенням суду і відповідно до Конституції України чи інших законів виключно у кримінально-правових відносинах.</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 xml:space="preserve">3. Положення другого речення частини другої статті 38 Закону України «Про зайнятість населення» (із змінами, запропонованими у проекті)  щодо часу здійснення оплати послуг з посередництва у працевлаштуванні за кордоном після отримання особою, якій надані такі послуги, «завіреного іноземним роботодавцем примірника трудового договору» не узгоджується із абзацом третім частини першої цієї статті (в редакції проекту) та частиною другою статті 16 Закону України «Про зовнішню трудову міграцію», оскільки до виїзду в країну працевлаштування особі надається проект трудового договору, завірений іноземним роботодавцем. Договір укладається та підписується сторонами після прибуття особи в країну працевлаштування. </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4. Відповідно до частини другої статті 52</w:t>
      </w:r>
      <w:r w:rsidRPr="00666CF1">
        <w:rPr>
          <w:rFonts w:ascii="Times New Roman" w:hAnsi="Times New Roman" w:cs="Times New Roman"/>
          <w:sz w:val="28"/>
          <w:szCs w:val="28"/>
          <w:vertAlign w:val="superscript"/>
        </w:rPr>
        <w:t>1</w:t>
      </w:r>
      <w:r w:rsidRPr="00666CF1">
        <w:rPr>
          <w:rFonts w:ascii="Times New Roman" w:hAnsi="Times New Roman" w:cs="Times New Roman"/>
          <w:sz w:val="28"/>
          <w:szCs w:val="28"/>
        </w:rPr>
        <w:t xml:space="preserve"> Закону України «Про зайнятість населення» (в редакції проекту) державний контроль за додержанням ліцензіатами вимог ліцензійних умов провадження господарської діяльності з посередництва у працевлаштуванні за кордоном у межах своїх повноважень здійснює центральний орган виконавчої влади, що забезпечує формування та реалізує державну політику у сфері зайнятості населення та трудової міграції.</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Проте це положення не узгоджується із частиною сьомою статті 19 Закону України «Про ліцензування видів господарської діяльності», за якою контроль за додержанням ліцензіатами вимог ліцензійних умов здійснюють у межах своїх повноважень органи ліцензування шляхом проведення планових і позапланових перевірок відповідно до Закону України «Про основні засади державного нагляду (контролю) у сфері господарської діяльності» з урахуванням особливостей, визначених цим Законом. За статтею 1 Закону України «Про ліцензування видів господарської діяльності» повноваження щодо визначення органів ліцензування  належать Кабінету Міністрів України. Крім того, статтею 2 цього Закону передбачено, що саме цей Закон встановлює уніфікований порядок ліцензування, нагляд і контроль у сфері ліцензування.</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 xml:space="preserve">Відтак, зважаючи на викладене,  положення проекту, в яких зазначено центральний орган виконавчої влади, що забезпечує формування та реалізує державну політику у сфері зайнятості населення та трудової міграції як орган ліцензування, суперечать принципам державної політики у сфері ліцензування, встановленим в статті 3 Закону України «Про ліцензування видів господарської діяльності», зокрема принципу єдності державної системи ліцензування. У зазначених положеннях мова має йти про орган ліцензування, який здійснюватиме контроль за додержанням ліцензіатами вимог ліцензійних умов провадження господарської діяльності з посередництва у працевлаштуванні за кордоном у межах, в спосіб та в порядку, встановлених законом. </w:t>
      </w:r>
    </w:p>
    <w:p w:rsidR="00C857C0" w:rsidRPr="00666CF1" w:rsidRDefault="00C857C0" w:rsidP="00666CF1">
      <w:pPr>
        <w:ind w:firstLine="709"/>
        <w:jc w:val="both"/>
        <w:rPr>
          <w:rFonts w:ascii="Times New Roman" w:hAnsi="Times New Roman" w:cs="Times New Roman"/>
          <w:i/>
          <w:sz w:val="28"/>
          <w:szCs w:val="28"/>
        </w:rPr>
      </w:pP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lastRenderedPageBreak/>
        <w:t>5. Проектом передбачено доповнення частини одинадцятої статті 53 Закону України «Про зайнятість населення» положенням про надання повноважень центральному органу виконавчої влади, що реалізує державну політику з питань нагляду та контролю за додержанням законодавства про працю, щодо звернення до суду для зупинення господарської діяльності суб’єкта господарювання, який здійснює діяльність із надання послуг з посередництва у працевлаштуванні за кордоном без ліцензії.</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Проте таке положення не узгоджується із статтею 246 Господарського кодексу України, якою передбачено обмеження або зупинення господарської діяльності, що здійснюється з порушенням екологічних вимог, або загрожує життю і здоров’ю людей, або становить підвищену небезпеку для довкілля. При цьому частиною третьою цієї статті встановлено, що підстави і порядок обмеження та зупинення діяльності суб’єктів господарювання, а також повноваження уповноважених органів приймати відповідні рішення встановлюються законом.</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Відсутність у проекті норм, що встановлюють порядок зупинення господарської діяльності суб’єкта господарювання в разі відсутності  ліцензії, а також віднесення до повноважень суду розгляду такої категорії справ унеможливлює забезпечення реалізації цієї норми. До того ж, ні діючими нормами Закону України «Про ліцензування видів господарської діяльності», ні змінами до цього Закону, що запропоновані проектом, не передбачено порядку зупинення господарської діяльності суб’єкта господарювання в разі здійснення ним діяльності без ліцензії.</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6. Пунктом 2 частини дванадцятої статті 53 Закону України «Про зайнятість населення» (в редакції проекту) підставою для анулювання ліцензії на провадження господарської діяльності з посередництва у працевлаштуванні за кордоном визначено «акт про недотримання суб’єктом господарювання … вимог абзацу четвертого частини першої статті 38 цього Закону». Зазначеними вимогами є заборона особі, яка має судимість за певні злочини, «бути фізичною особою-підприємцем чи входити до складу керівного органу або наглядової ради, чи бути уповноваженим представником юридичної особи, що провадять господарську діяльність з посередництва у працевлаштуванні за кордоном».</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Проте в проекті не визначені посадові особи чи органи державної влади, до повноважень яких віднесено складення таких актів, а  також внаслідок чого цим посадовим особам або органам може стати відомо про недотримання зазначених вимог.</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Крім того, запропонована в проекті норма не узгоджується із статтею 16 Закону України «Про ліцензування видів господарської діяльності», що регулює питання анулювання ліцензії.</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7. Відповідно до змін, що пропонуються проектом до статті 4 Закону України «Про ліцензування видів господарської діяльності», спеціально уповноважений орган з питань ліцензування «при здійсненні методичного керівництва та інформаційного забезпечення діяльності органів ліцензування враховує та запобігає ризикам потрапляння осіб у ситуації, пов’язані з торгівлею людьми».</w:t>
      </w:r>
    </w:p>
    <w:p w:rsidR="00C857C0" w:rsidRPr="00666CF1" w:rsidRDefault="00C857C0" w:rsidP="00666CF1">
      <w:pPr>
        <w:ind w:firstLine="709"/>
        <w:jc w:val="both"/>
        <w:rPr>
          <w:rFonts w:ascii="Times New Roman" w:hAnsi="Times New Roman" w:cs="Times New Roman"/>
          <w:sz w:val="28"/>
          <w:szCs w:val="28"/>
        </w:rPr>
      </w:pP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lastRenderedPageBreak/>
        <w:t>Однак проектом не визначено способу та порядку, за якими спеціально уповноважений орган з питань ліцензування враховуватиме та запобігатиме ризикам потрапляння осіб у ситуації, пов’язані з торгівлею людьми. Відтак, такі положення не відповідають вимогам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та не враховують правової позиції Конституційного Суду України, оскільки не містить достатніх і завершених правових механізмів реалізації положень закону, як того вимагає принцип правової держави.</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 xml:space="preserve">8. Змінами до пункту 6 частини першої статті 5 Закону України «Про зовнішню трудову міграцію» передбачено покладення на закордонні дипломатичні установи України «вжиття заходів щодо здійснення перевірки інформації стосовно спроможності та умов прийняття на роботу трудових мігрантів іноземними роботодавцями, до яких направляються трудові мігранти суб’єктами господарювання України, які надають послуги з посередництва у працевлаштуванні за кордоном». </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На нашу думку, покладення запропонованих функцій на закордонні дипломатичні установи України не узгоджується із Консульським статутом України, затвердженим Указом Президента України від 2 квітня 1994 року</w:t>
      </w:r>
      <w:r w:rsidR="00666CF1">
        <w:rPr>
          <w:rFonts w:ascii="Times New Roman" w:hAnsi="Times New Roman" w:cs="Times New Roman"/>
          <w:sz w:val="28"/>
          <w:szCs w:val="28"/>
        </w:rPr>
        <w:br/>
        <w:t>№ </w:t>
      </w:r>
      <w:r w:rsidRPr="00666CF1">
        <w:rPr>
          <w:rFonts w:ascii="Times New Roman" w:hAnsi="Times New Roman" w:cs="Times New Roman"/>
          <w:sz w:val="28"/>
          <w:szCs w:val="28"/>
        </w:rPr>
        <w:t>127/94, Положенням про дипломатичне представництво України за кордоном, затвердженим Розпорядженням Президента України від 22 жовтн</w:t>
      </w:r>
      <w:r w:rsidR="00666CF1">
        <w:rPr>
          <w:rFonts w:ascii="Times New Roman" w:hAnsi="Times New Roman" w:cs="Times New Roman"/>
          <w:sz w:val="28"/>
          <w:szCs w:val="28"/>
        </w:rPr>
        <w:t>я 1992 року</w:t>
      </w:r>
      <w:r w:rsidR="00666CF1">
        <w:rPr>
          <w:rFonts w:ascii="Times New Roman" w:hAnsi="Times New Roman" w:cs="Times New Roman"/>
          <w:sz w:val="28"/>
          <w:szCs w:val="28"/>
        </w:rPr>
        <w:br/>
        <w:t>№ </w:t>
      </w:r>
      <w:r w:rsidRPr="00666CF1">
        <w:rPr>
          <w:rFonts w:ascii="Times New Roman" w:hAnsi="Times New Roman" w:cs="Times New Roman"/>
          <w:sz w:val="28"/>
          <w:szCs w:val="28"/>
        </w:rPr>
        <w:t>166/92-рп, якими визначені завдання та функції дипломатичних представництв та консульських установ України за кордоном. Безпосередньо функції консульських установ України в іноземній державі визначаються консульською конвенцією, що укладається між Україною та відповідною державою.</w:t>
      </w: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sz w:val="28"/>
          <w:szCs w:val="28"/>
        </w:rPr>
        <w:t>Крім того, покладення додаткових функцій на зазначені установи потребує залучення додатково працівників, а відтак і збільшення видатків державного бюджету на фінансування цих установ.</w:t>
      </w:r>
      <w:r w:rsidR="005A30D7">
        <w:rPr>
          <w:rFonts w:ascii="Times New Roman" w:hAnsi="Times New Roman" w:cs="Times New Roman"/>
          <w:sz w:val="28"/>
          <w:szCs w:val="28"/>
        </w:rPr>
        <w:t xml:space="preserve"> У зв’язку з цим звертаємо увагу, </w:t>
      </w:r>
      <w:r w:rsidR="00E669B8">
        <w:rPr>
          <w:rFonts w:ascii="Times New Roman" w:hAnsi="Times New Roman" w:cs="Times New Roman"/>
          <w:sz w:val="28"/>
          <w:szCs w:val="28"/>
        </w:rPr>
        <w:t>що</w:t>
      </w:r>
      <w:r w:rsidR="00E669B8">
        <w:rPr>
          <w:rFonts w:ascii="Times New Roman" w:hAnsi="Times New Roman" w:cs="Times New Roman"/>
          <w:sz w:val="28"/>
          <w:szCs w:val="28"/>
        </w:rPr>
        <w:br/>
        <w:t xml:space="preserve">18 жовтня 2018 року </w:t>
      </w:r>
      <w:r w:rsidR="005A30D7">
        <w:rPr>
          <w:rFonts w:ascii="Times New Roman" w:hAnsi="Times New Roman" w:cs="Times New Roman"/>
          <w:sz w:val="28"/>
          <w:szCs w:val="28"/>
        </w:rPr>
        <w:t>постановою Верховної Ради України № </w:t>
      </w:r>
      <w:r w:rsidR="005A30D7" w:rsidRPr="005A30D7">
        <w:rPr>
          <w:rFonts w:ascii="Times New Roman" w:hAnsi="Times New Roman" w:cs="Times New Roman"/>
          <w:sz w:val="28"/>
          <w:szCs w:val="28"/>
        </w:rPr>
        <w:t>2602-VIII</w:t>
      </w:r>
      <w:r w:rsidR="005A30D7">
        <w:rPr>
          <w:rFonts w:ascii="Times New Roman" w:hAnsi="Times New Roman" w:cs="Times New Roman"/>
          <w:sz w:val="28"/>
          <w:szCs w:val="28"/>
        </w:rPr>
        <w:t xml:space="preserve"> схвалено </w:t>
      </w:r>
      <w:r w:rsidR="005A30D7" w:rsidRPr="005A30D7">
        <w:rPr>
          <w:rFonts w:ascii="Times New Roman" w:hAnsi="Times New Roman" w:cs="Times New Roman"/>
          <w:sz w:val="28"/>
          <w:szCs w:val="28"/>
        </w:rPr>
        <w:t>висновки та пропозиції до проекту Закону України про Державний бюджет України на 2019 рік</w:t>
      </w:r>
      <w:r w:rsidR="005A30D7">
        <w:rPr>
          <w:rFonts w:ascii="Times New Roman" w:hAnsi="Times New Roman" w:cs="Times New Roman"/>
          <w:sz w:val="28"/>
          <w:szCs w:val="28"/>
        </w:rPr>
        <w:t xml:space="preserve">, що унеможливлює </w:t>
      </w:r>
      <w:r w:rsidR="00BA76F0">
        <w:rPr>
          <w:rFonts w:ascii="Times New Roman" w:hAnsi="Times New Roman" w:cs="Times New Roman"/>
          <w:sz w:val="28"/>
          <w:szCs w:val="28"/>
        </w:rPr>
        <w:t>передбачити фінансування заходів на реалізацію норм цього Закону, у разі його прийняття та набрання ним чинності.</w:t>
      </w:r>
    </w:p>
    <w:p w:rsidR="00C857C0" w:rsidRDefault="00C857C0" w:rsidP="00666CF1">
      <w:pPr>
        <w:ind w:firstLine="709"/>
        <w:jc w:val="both"/>
        <w:rPr>
          <w:rFonts w:ascii="Times New Roman" w:hAnsi="Times New Roman" w:cs="Times New Roman"/>
          <w:sz w:val="28"/>
          <w:szCs w:val="28"/>
        </w:rPr>
      </w:pPr>
    </w:p>
    <w:p w:rsidR="00BA76F0" w:rsidRPr="00666CF1" w:rsidRDefault="00BA76F0" w:rsidP="00666CF1">
      <w:pPr>
        <w:ind w:firstLine="709"/>
        <w:jc w:val="both"/>
        <w:rPr>
          <w:rFonts w:ascii="Times New Roman" w:hAnsi="Times New Roman" w:cs="Times New Roman"/>
          <w:sz w:val="28"/>
          <w:szCs w:val="28"/>
        </w:rPr>
      </w:pPr>
    </w:p>
    <w:p w:rsidR="00C857C0" w:rsidRPr="00666CF1" w:rsidRDefault="00C857C0" w:rsidP="00666CF1">
      <w:pPr>
        <w:ind w:firstLine="709"/>
        <w:jc w:val="both"/>
        <w:rPr>
          <w:rFonts w:ascii="Times New Roman" w:hAnsi="Times New Roman" w:cs="Times New Roman"/>
          <w:sz w:val="28"/>
          <w:szCs w:val="28"/>
        </w:rPr>
      </w:pPr>
      <w:r w:rsidRPr="00666CF1">
        <w:rPr>
          <w:rFonts w:ascii="Times New Roman" w:hAnsi="Times New Roman" w:cs="Times New Roman"/>
          <w:b/>
          <w:i/>
          <w:sz w:val="28"/>
          <w:szCs w:val="28"/>
        </w:rPr>
        <w:t xml:space="preserve">Узагальнюючий висновок. </w:t>
      </w:r>
      <w:r w:rsidRPr="00666CF1">
        <w:rPr>
          <w:rFonts w:ascii="Times New Roman" w:hAnsi="Times New Roman" w:cs="Times New Roman"/>
          <w:sz w:val="28"/>
          <w:szCs w:val="28"/>
        </w:rPr>
        <w:t>Законопроект може бути прийнятий у другому читанні за умови врахування зауважень Головного юридичного управління.</w:t>
      </w:r>
    </w:p>
    <w:p w:rsidR="00C857C0" w:rsidRPr="00666CF1" w:rsidRDefault="00C857C0" w:rsidP="00C857C0">
      <w:pPr>
        <w:ind w:firstLine="708"/>
        <w:jc w:val="both"/>
        <w:rPr>
          <w:rFonts w:ascii="Times New Roman" w:hAnsi="Times New Roman" w:cs="Times New Roman"/>
          <w:sz w:val="28"/>
          <w:szCs w:val="28"/>
        </w:rPr>
      </w:pPr>
    </w:p>
    <w:p w:rsidR="00C857C0" w:rsidRPr="00666CF1" w:rsidRDefault="00C857C0" w:rsidP="00C857C0">
      <w:pPr>
        <w:ind w:firstLine="708"/>
        <w:jc w:val="both"/>
        <w:rPr>
          <w:rFonts w:ascii="Times New Roman" w:hAnsi="Times New Roman" w:cs="Times New Roman"/>
          <w:sz w:val="28"/>
          <w:szCs w:val="28"/>
        </w:rPr>
      </w:pPr>
    </w:p>
    <w:p w:rsidR="00C857C0" w:rsidRPr="00666CF1" w:rsidRDefault="00C857C0" w:rsidP="00C857C0">
      <w:pPr>
        <w:ind w:firstLine="708"/>
        <w:jc w:val="both"/>
        <w:rPr>
          <w:rFonts w:ascii="Times New Roman" w:hAnsi="Times New Roman" w:cs="Times New Roman"/>
          <w:sz w:val="28"/>
          <w:szCs w:val="28"/>
        </w:rPr>
      </w:pPr>
    </w:p>
    <w:p w:rsidR="00C857C0" w:rsidRPr="00666CF1" w:rsidRDefault="00666CF1" w:rsidP="00666CF1">
      <w:pPr>
        <w:ind w:left="709"/>
        <w:jc w:val="both"/>
        <w:rPr>
          <w:rFonts w:ascii="Times New Roman" w:hAnsi="Times New Roman" w:cs="Times New Roman"/>
          <w:sz w:val="28"/>
          <w:szCs w:val="28"/>
        </w:rPr>
      </w:pPr>
      <w:r>
        <w:rPr>
          <w:rFonts w:ascii="Times New Roman" w:hAnsi="Times New Roman" w:cs="Times New Roman"/>
          <w:sz w:val="28"/>
          <w:szCs w:val="28"/>
        </w:rPr>
        <w:t xml:space="preserve">Перший </w:t>
      </w:r>
      <w:r w:rsidR="00C857C0" w:rsidRPr="00666CF1">
        <w:rPr>
          <w:rFonts w:ascii="Times New Roman" w:hAnsi="Times New Roman" w:cs="Times New Roman"/>
          <w:sz w:val="28"/>
          <w:szCs w:val="28"/>
        </w:rPr>
        <w:t xml:space="preserve">заступник </w:t>
      </w:r>
    </w:p>
    <w:p w:rsidR="00C857C0" w:rsidRPr="00666CF1" w:rsidRDefault="00C857C0" w:rsidP="00C857C0">
      <w:pPr>
        <w:jc w:val="both"/>
        <w:rPr>
          <w:rFonts w:ascii="Times New Roman" w:hAnsi="Times New Roman" w:cs="Times New Roman"/>
          <w:sz w:val="28"/>
          <w:szCs w:val="28"/>
        </w:rPr>
      </w:pPr>
      <w:r w:rsidRPr="00666CF1">
        <w:rPr>
          <w:rFonts w:ascii="Times New Roman" w:hAnsi="Times New Roman" w:cs="Times New Roman"/>
          <w:sz w:val="28"/>
          <w:szCs w:val="28"/>
        </w:rPr>
        <w:t>керівника Головного управління                                                          А. НИЖНИК</w:t>
      </w:r>
    </w:p>
    <w:sectPr w:rsidR="00C857C0" w:rsidRPr="00666CF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7C0"/>
    <w:rsid w:val="000329E0"/>
    <w:rsid w:val="00117F3B"/>
    <w:rsid w:val="00125980"/>
    <w:rsid w:val="00173075"/>
    <w:rsid w:val="00182C5C"/>
    <w:rsid w:val="001C0D57"/>
    <w:rsid w:val="001C4BCF"/>
    <w:rsid w:val="001C64ED"/>
    <w:rsid w:val="00230BA0"/>
    <w:rsid w:val="00276041"/>
    <w:rsid w:val="002C1434"/>
    <w:rsid w:val="00326119"/>
    <w:rsid w:val="00333542"/>
    <w:rsid w:val="00351F29"/>
    <w:rsid w:val="00385AFA"/>
    <w:rsid w:val="00462C62"/>
    <w:rsid w:val="00473306"/>
    <w:rsid w:val="00492ECE"/>
    <w:rsid w:val="004A3971"/>
    <w:rsid w:val="004F6B84"/>
    <w:rsid w:val="00500062"/>
    <w:rsid w:val="00506E7A"/>
    <w:rsid w:val="00516D13"/>
    <w:rsid w:val="00585E74"/>
    <w:rsid w:val="005A30D7"/>
    <w:rsid w:val="005B2354"/>
    <w:rsid w:val="00636E18"/>
    <w:rsid w:val="00666CF1"/>
    <w:rsid w:val="006917DF"/>
    <w:rsid w:val="0078407B"/>
    <w:rsid w:val="0082610D"/>
    <w:rsid w:val="008B5D95"/>
    <w:rsid w:val="008E4017"/>
    <w:rsid w:val="009A5C04"/>
    <w:rsid w:val="009B0212"/>
    <w:rsid w:val="00A00A4F"/>
    <w:rsid w:val="00A27577"/>
    <w:rsid w:val="00AB1E76"/>
    <w:rsid w:val="00AE2B58"/>
    <w:rsid w:val="00B02B9A"/>
    <w:rsid w:val="00B74BF5"/>
    <w:rsid w:val="00B81CA4"/>
    <w:rsid w:val="00B967C8"/>
    <w:rsid w:val="00BA76F0"/>
    <w:rsid w:val="00C118C2"/>
    <w:rsid w:val="00C21A4B"/>
    <w:rsid w:val="00C25E35"/>
    <w:rsid w:val="00C717F9"/>
    <w:rsid w:val="00C857C0"/>
    <w:rsid w:val="00C87787"/>
    <w:rsid w:val="00CE1FE5"/>
    <w:rsid w:val="00D105F8"/>
    <w:rsid w:val="00D707DF"/>
    <w:rsid w:val="00D937BF"/>
    <w:rsid w:val="00DB6A7B"/>
    <w:rsid w:val="00DE285B"/>
    <w:rsid w:val="00E4604A"/>
    <w:rsid w:val="00E669B8"/>
    <w:rsid w:val="00E7671C"/>
    <w:rsid w:val="00E966A1"/>
    <w:rsid w:val="00FB0546"/>
    <w:rsid w:val="00FD567D"/>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3C0A6E-072E-419A-905F-CB1638832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7C0"/>
    <w:pPr>
      <w:jc w:val="left"/>
    </w:pPr>
    <w:rPr>
      <w:rFonts w:asciiTheme="minorHAnsi" w:hAnsiTheme="minorHAnsi" w:cstheme="minorBidi"/>
      <w:sz w:val="22"/>
      <w:szCs w:val="22"/>
    </w:rPr>
  </w:style>
  <w:style w:type="paragraph" w:styleId="3">
    <w:name w:val="heading 3"/>
    <w:basedOn w:val="a"/>
    <w:link w:val="30"/>
    <w:semiHidden/>
    <w:unhideWhenUsed/>
    <w:qFormat/>
    <w:rsid w:val="00666CF1"/>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857C0"/>
    <w:rPr>
      <w:rFonts w:ascii="Segoe UI" w:hAnsi="Segoe UI" w:cs="Segoe UI"/>
      <w:sz w:val="18"/>
      <w:szCs w:val="18"/>
    </w:rPr>
  </w:style>
  <w:style w:type="character" w:customStyle="1" w:styleId="a4">
    <w:name w:val="Текст у виносці Знак"/>
    <w:basedOn w:val="a0"/>
    <w:link w:val="a3"/>
    <w:uiPriority w:val="99"/>
    <w:semiHidden/>
    <w:rsid w:val="00C857C0"/>
    <w:rPr>
      <w:rFonts w:ascii="Segoe UI" w:hAnsi="Segoe UI" w:cs="Segoe UI"/>
      <w:sz w:val="18"/>
      <w:szCs w:val="18"/>
    </w:rPr>
  </w:style>
  <w:style w:type="character" w:customStyle="1" w:styleId="30">
    <w:name w:val="Заголовок 3 Знак"/>
    <w:basedOn w:val="a0"/>
    <w:link w:val="3"/>
    <w:semiHidden/>
    <w:rsid w:val="00666CF1"/>
    <w:rPr>
      <w:rFonts w:eastAsia="Times New Roman"/>
      <w:b/>
      <w:bCs/>
      <w:sz w:val="27"/>
      <w:szCs w:val="27"/>
      <w:lang w:eastAsia="ru-RU"/>
    </w:rPr>
  </w:style>
  <w:style w:type="character" w:customStyle="1" w:styleId="rvts44">
    <w:name w:val="rvts44"/>
    <w:basedOn w:val="a0"/>
    <w:rsid w:val="005A30D7"/>
  </w:style>
  <w:style w:type="character" w:customStyle="1" w:styleId="rvts0">
    <w:name w:val="rvts0"/>
    <w:basedOn w:val="a0"/>
    <w:rsid w:val="005A3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6940</Words>
  <Characters>3957</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2</cp:revision>
  <cp:lastPrinted>2018-10-25T08:56:00Z</cp:lastPrinted>
  <dcterms:created xsi:type="dcterms:W3CDTF">2018-10-26T11:23:00Z</dcterms:created>
  <dcterms:modified xsi:type="dcterms:W3CDTF">2018-10-26T11:23:00Z</dcterms:modified>
</cp:coreProperties>
</file>