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785" w:rsidRPr="00CF2608" w:rsidRDefault="008B7785">
      <w:pPr>
        <w:pStyle w:val="Nazva"/>
        <w:rPr>
          <w:szCs w:val="28"/>
        </w:rPr>
      </w:pPr>
      <w:bookmarkStart w:id="0" w:name="_GoBack"/>
      <w:bookmarkEnd w:id="0"/>
    </w:p>
    <w:p w:rsidR="008B7785" w:rsidRPr="00CF2608" w:rsidRDefault="008B7785">
      <w:pPr>
        <w:pStyle w:val="Nazva"/>
        <w:rPr>
          <w:szCs w:val="28"/>
        </w:rPr>
      </w:pPr>
    </w:p>
    <w:p w:rsidR="008B7785" w:rsidRPr="00CF2608" w:rsidRDefault="008B7785">
      <w:pPr>
        <w:pStyle w:val="Nazva"/>
        <w:rPr>
          <w:szCs w:val="28"/>
        </w:rPr>
      </w:pPr>
    </w:p>
    <w:p w:rsidR="00371DC3" w:rsidRPr="00CF2608" w:rsidRDefault="00371DC3">
      <w:pPr>
        <w:pStyle w:val="Nazva"/>
        <w:rPr>
          <w:szCs w:val="28"/>
        </w:rPr>
      </w:pPr>
    </w:p>
    <w:p w:rsidR="00371DC3" w:rsidRPr="00CF2608" w:rsidRDefault="00371DC3">
      <w:pPr>
        <w:pStyle w:val="Nazva"/>
        <w:rPr>
          <w:szCs w:val="28"/>
        </w:rPr>
      </w:pPr>
    </w:p>
    <w:p w:rsidR="00371DC3" w:rsidRPr="00CF2608" w:rsidRDefault="00371DC3">
      <w:pPr>
        <w:pStyle w:val="Nazva"/>
        <w:rPr>
          <w:szCs w:val="28"/>
        </w:rPr>
      </w:pPr>
    </w:p>
    <w:p w:rsidR="00371DC3" w:rsidRPr="00CF2608" w:rsidRDefault="00371DC3">
      <w:pPr>
        <w:pStyle w:val="Nazva"/>
        <w:rPr>
          <w:szCs w:val="28"/>
        </w:rPr>
      </w:pPr>
    </w:p>
    <w:p w:rsidR="00371DC3" w:rsidRPr="00CF2608" w:rsidRDefault="00371DC3">
      <w:pPr>
        <w:pStyle w:val="Nazva"/>
        <w:rPr>
          <w:szCs w:val="28"/>
        </w:rPr>
      </w:pPr>
    </w:p>
    <w:p w:rsidR="000C0715" w:rsidRPr="00856AE6" w:rsidRDefault="000C0715" w:rsidP="00BC38D5">
      <w:pPr>
        <w:pStyle w:val="Nazva"/>
        <w:rPr>
          <w:i/>
          <w:szCs w:val="28"/>
        </w:rPr>
      </w:pPr>
      <w:r w:rsidRPr="00856AE6">
        <w:rPr>
          <w:i/>
          <w:szCs w:val="28"/>
        </w:rPr>
        <w:t>ВИСНОВОК</w:t>
      </w:r>
    </w:p>
    <w:p w:rsidR="000C0715" w:rsidRPr="00856AE6" w:rsidRDefault="000C0715" w:rsidP="00BC38D5">
      <w:pPr>
        <w:pStyle w:val="Nazva"/>
        <w:rPr>
          <w:i/>
          <w:szCs w:val="28"/>
        </w:rPr>
      </w:pPr>
      <w:r w:rsidRPr="00856AE6">
        <w:rPr>
          <w:i/>
          <w:szCs w:val="28"/>
        </w:rPr>
        <w:t>на проект</w:t>
      </w:r>
      <w:r w:rsidRPr="00856AE6">
        <w:rPr>
          <w:rStyle w:val="a4"/>
          <w:b/>
          <w:i/>
          <w:sz w:val="28"/>
          <w:szCs w:val="28"/>
        </w:rPr>
        <w:t xml:space="preserve"> Закону України «</w:t>
      </w:r>
      <w:r w:rsidRPr="00856AE6">
        <w:rPr>
          <w:i/>
          <w:szCs w:val="28"/>
        </w:rPr>
        <w:t>Про рейтинг</w:t>
      </w:r>
      <w:r w:rsidR="00513D78" w:rsidRPr="00856AE6">
        <w:rPr>
          <w:i/>
          <w:szCs w:val="28"/>
        </w:rPr>
        <w:t>ування</w:t>
      </w:r>
      <w:r w:rsidRPr="00856AE6">
        <w:rPr>
          <w:i/>
          <w:szCs w:val="28"/>
        </w:rPr>
        <w:t>»</w:t>
      </w:r>
    </w:p>
    <w:p w:rsidR="000C0715" w:rsidRPr="00856AE6" w:rsidRDefault="000C0715" w:rsidP="00BC38D5">
      <w:pPr>
        <w:pStyle w:val="Nazva"/>
        <w:rPr>
          <w:i/>
          <w:szCs w:val="28"/>
        </w:rPr>
      </w:pPr>
      <w:r w:rsidRPr="00856AE6">
        <w:rPr>
          <w:rStyle w:val="a4"/>
          <w:b/>
          <w:i/>
          <w:sz w:val="28"/>
          <w:szCs w:val="28"/>
        </w:rPr>
        <w:t xml:space="preserve">(реєстр. № </w:t>
      </w:r>
      <w:r w:rsidR="008A1432" w:rsidRPr="00856AE6">
        <w:rPr>
          <w:rStyle w:val="a4"/>
          <w:b/>
          <w:i/>
          <w:sz w:val="28"/>
          <w:szCs w:val="28"/>
        </w:rPr>
        <w:t>8</w:t>
      </w:r>
      <w:r w:rsidR="00513D78" w:rsidRPr="00856AE6">
        <w:rPr>
          <w:rStyle w:val="a4"/>
          <w:b/>
          <w:i/>
          <w:sz w:val="28"/>
          <w:szCs w:val="28"/>
        </w:rPr>
        <w:t>00</w:t>
      </w:r>
      <w:r w:rsidR="008A1432" w:rsidRPr="00856AE6">
        <w:rPr>
          <w:rStyle w:val="a4"/>
          <w:b/>
          <w:i/>
          <w:sz w:val="28"/>
          <w:szCs w:val="28"/>
        </w:rPr>
        <w:t>7</w:t>
      </w:r>
      <w:r w:rsidRPr="00856AE6">
        <w:rPr>
          <w:rStyle w:val="a4"/>
          <w:b/>
          <w:i/>
          <w:sz w:val="28"/>
          <w:szCs w:val="28"/>
        </w:rPr>
        <w:t xml:space="preserve"> від </w:t>
      </w:r>
      <w:r w:rsidR="00513D78" w:rsidRPr="00856AE6">
        <w:rPr>
          <w:rStyle w:val="a4"/>
          <w:b/>
          <w:i/>
          <w:sz w:val="28"/>
          <w:szCs w:val="28"/>
        </w:rPr>
        <w:t>06</w:t>
      </w:r>
      <w:r w:rsidRPr="00856AE6">
        <w:rPr>
          <w:rStyle w:val="a4"/>
          <w:b/>
          <w:i/>
          <w:sz w:val="28"/>
          <w:szCs w:val="28"/>
        </w:rPr>
        <w:t>.</w:t>
      </w:r>
      <w:r w:rsidR="008860CB" w:rsidRPr="00856AE6">
        <w:rPr>
          <w:rStyle w:val="a4"/>
          <w:b/>
          <w:i/>
          <w:sz w:val="28"/>
          <w:szCs w:val="28"/>
        </w:rPr>
        <w:t>0</w:t>
      </w:r>
      <w:r w:rsidR="00513D78" w:rsidRPr="00856AE6">
        <w:rPr>
          <w:rStyle w:val="a4"/>
          <w:b/>
          <w:i/>
          <w:sz w:val="28"/>
          <w:szCs w:val="28"/>
        </w:rPr>
        <w:t>2</w:t>
      </w:r>
      <w:r w:rsidRPr="00856AE6">
        <w:rPr>
          <w:rStyle w:val="a4"/>
          <w:b/>
          <w:i/>
          <w:sz w:val="28"/>
          <w:szCs w:val="28"/>
        </w:rPr>
        <w:t>.201</w:t>
      </w:r>
      <w:r w:rsidR="00513D78" w:rsidRPr="00856AE6">
        <w:rPr>
          <w:rStyle w:val="a4"/>
          <w:b/>
          <w:i/>
          <w:sz w:val="28"/>
          <w:szCs w:val="28"/>
        </w:rPr>
        <w:t>8</w:t>
      </w:r>
      <w:r w:rsidRPr="00856AE6">
        <w:rPr>
          <w:rStyle w:val="a4"/>
          <w:b/>
          <w:i/>
          <w:sz w:val="28"/>
          <w:szCs w:val="28"/>
        </w:rPr>
        <w:t xml:space="preserve"> р</w:t>
      </w:r>
      <w:r w:rsidR="00513D78" w:rsidRPr="00856AE6">
        <w:rPr>
          <w:rStyle w:val="a4"/>
          <w:b/>
          <w:i/>
          <w:sz w:val="28"/>
          <w:szCs w:val="28"/>
        </w:rPr>
        <w:t>.</w:t>
      </w:r>
      <w:r w:rsidRPr="00856AE6">
        <w:rPr>
          <w:rStyle w:val="a4"/>
          <w:b/>
          <w:i/>
          <w:sz w:val="28"/>
          <w:szCs w:val="28"/>
        </w:rPr>
        <w:t>)</w:t>
      </w:r>
    </w:p>
    <w:p w:rsidR="00CF2608" w:rsidRDefault="00CF2608" w:rsidP="00064610">
      <w:pPr>
        <w:pStyle w:val="Igor"/>
        <w:spacing w:before="0" w:after="0"/>
      </w:pPr>
    </w:p>
    <w:p w:rsidR="00117D3B" w:rsidRDefault="007665FF" w:rsidP="00064610">
      <w:pPr>
        <w:pStyle w:val="Igor"/>
        <w:spacing w:before="0" w:after="0"/>
      </w:pPr>
      <w:r w:rsidRPr="00856AE6">
        <w:t xml:space="preserve">У </w:t>
      </w:r>
      <w:r w:rsidR="008B7785" w:rsidRPr="00856AE6">
        <w:t>проект</w:t>
      </w:r>
      <w:r w:rsidRPr="00856AE6">
        <w:t>і</w:t>
      </w:r>
      <w:r w:rsidR="00117D3B">
        <w:t xml:space="preserve">, </w:t>
      </w:r>
      <w:r w:rsidR="00CF2608">
        <w:t xml:space="preserve">як зазначено у </w:t>
      </w:r>
      <w:r w:rsidR="00117D3B">
        <w:t>його преамбул</w:t>
      </w:r>
      <w:r w:rsidR="00CF2608">
        <w:t>і,</w:t>
      </w:r>
      <w:r w:rsidR="00117D3B">
        <w:t xml:space="preserve"> </w:t>
      </w:r>
      <w:r w:rsidR="008B7785" w:rsidRPr="00856AE6">
        <w:t xml:space="preserve">пропонується </w:t>
      </w:r>
      <w:r w:rsidR="00117D3B">
        <w:t xml:space="preserve">встановити «правила організації та управління рейтинговими агентствами для забезпечення їх незалежності та уникнення конфлікту інтересів, посилення цілісності, прозорості, відповідальності, належного управління та надійності рейтингової діяльності, підвищення якості присвоєних рейтингів для досягнення високого рівня захисту користувачів рейтингу». </w:t>
      </w:r>
    </w:p>
    <w:p w:rsidR="00117D3B" w:rsidRPr="00EB6966" w:rsidRDefault="00117D3B" w:rsidP="00064610">
      <w:pPr>
        <w:pStyle w:val="a3"/>
        <w:widowControl w:val="0"/>
        <w:tabs>
          <w:tab w:val="left" w:pos="0"/>
          <w:tab w:val="left" w:pos="1080"/>
        </w:tabs>
        <w:ind w:firstLine="709"/>
        <w:rPr>
          <w:bCs/>
        </w:rPr>
      </w:pPr>
      <w:r>
        <w:t>Прийняття проекту, на думку суб’єктів права законодавчої ініціативи, «дозволить</w:t>
      </w:r>
      <w:r w:rsidR="00870DF4">
        <w:t>:</w:t>
      </w:r>
      <w:r>
        <w:t xml:space="preserve"> </w:t>
      </w:r>
      <w:r w:rsidRPr="00EB6966">
        <w:rPr>
          <w:bCs/>
        </w:rPr>
        <w:t xml:space="preserve">встановити правові засади </w:t>
      </w:r>
      <w:r>
        <w:rPr>
          <w:bCs/>
        </w:rPr>
        <w:t>діяльності</w:t>
      </w:r>
      <w:r w:rsidRPr="00EB6966">
        <w:rPr>
          <w:bCs/>
        </w:rPr>
        <w:t xml:space="preserve"> рейтингових</w:t>
      </w:r>
      <w:r>
        <w:rPr>
          <w:bCs/>
        </w:rPr>
        <w:t xml:space="preserve"> агентств та</w:t>
      </w:r>
      <w:r w:rsidRPr="00EB6966">
        <w:rPr>
          <w:bCs/>
        </w:rPr>
        <w:t xml:space="preserve"> державного нагляду (контролю) за</w:t>
      </w:r>
      <w:r>
        <w:rPr>
          <w:bCs/>
        </w:rPr>
        <w:t xml:space="preserve"> ними, у тому числі, </w:t>
      </w:r>
      <w:r w:rsidRPr="00EB6966">
        <w:rPr>
          <w:bCs/>
        </w:rPr>
        <w:t>відповідальність за порушення ни</w:t>
      </w:r>
      <w:r>
        <w:rPr>
          <w:bCs/>
        </w:rPr>
        <w:t xml:space="preserve">ми вимог законодавства; </w:t>
      </w:r>
      <w:r w:rsidRPr="00EB6966">
        <w:rPr>
          <w:bCs/>
        </w:rPr>
        <w:t xml:space="preserve">створити систему професійної об’єктивної оцінки кредитоспроможності, що сприятиме покращенню інвестиційного клімату в державі та мінімізації ризиків на </w:t>
      </w:r>
      <w:r>
        <w:rPr>
          <w:bCs/>
        </w:rPr>
        <w:t xml:space="preserve">ринках капіталу;  </w:t>
      </w:r>
      <w:r>
        <w:t xml:space="preserve">забезпечити </w:t>
      </w:r>
      <w:r w:rsidRPr="0078068A">
        <w:t>викона</w:t>
      </w:r>
      <w:r>
        <w:t>ння</w:t>
      </w:r>
      <w:r w:rsidRPr="0078068A">
        <w:t xml:space="preserve"> вимог </w:t>
      </w:r>
      <w:hyperlink r:id="rId7" w:anchor="n2820" w:tooltip="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history="1">
        <w:r w:rsidRPr="00EB6966">
          <w:rPr>
            <w:rStyle w:val="ab"/>
            <w:bCs/>
            <w:color w:val="111111"/>
          </w:rPr>
          <w:t xml:space="preserve">Угоди про асоціацію </w:t>
        </w:r>
      </w:hyperlink>
      <w:r w:rsidRPr="00EB6966">
        <w:t>в</w:t>
      </w:r>
      <w:r w:rsidRPr="0078068A">
        <w:t xml:space="preserve"> частині імплементації</w:t>
      </w:r>
      <w:r>
        <w:t xml:space="preserve"> </w:t>
      </w:r>
      <w:r w:rsidRPr="00EB6966">
        <w:t>Регламен</w:t>
      </w:r>
      <w:r>
        <w:t>ту</w:t>
      </w:r>
      <w:r w:rsidRPr="00EB6966">
        <w:t xml:space="preserve"> Європейського Парламенту та Ради № 1060/2009 від 16 вересня 2009 року щодо кредитних рейтингових агентств</w:t>
      </w:r>
      <w:r>
        <w:t>»</w:t>
      </w:r>
      <w:r>
        <w:rPr>
          <w:bCs/>
        </w:rPr>
        <w:t>.</w:t>
      </w:r>
    </w:p>
    <w:p w:rsidR="009A32B3" w:rsidRDefault="009A32B3" w:rsidP="00064610">
      <w:pPr>
        <w:pStyle w:val="Igor"/>
        <w:spacing w:before="0" w:after="0"/>
      </w:pPr>
      <w:r w:rsidRPr="00856AE6">
        <w:t xml:space="preserve">Головне управління, розглянувши зазначену законодавчу пропозицію, вважає за </w:t>
      </w:r>
      <w:r w:rsidR="00870DF4">
        <w:t xml:space="preserve">доцільне </w:t>
      </w:r>
      <w:r w:rsidRPr="00856AE6">
        <w:t>висловити щодо її змісту наступні зауваження і пропозиції.</w:t>
      </w:r>
    </w:p>
    <w:p w:rsidR="009B2097" w:rsidRDefault="00B24E21" w:rsidP="00064610">
      <w:pPr>
        <w:pStyle w:val="Igor"/>
        <w:spacing w:before="0" w:after="0"/>
      </w:pPr>
      <w:r>
        <w:t>1</w:t>
      </w:r>
      <w:r w:rsidR="00AE4188" w:rsidRPr="00856AE6">
        <w:t xml:space="preserve">. </w:t>
      </w:r>
      <w:r w:rsidR="00870DF4">
        <w:t xml:space="preserve">На нашу думку, </w:t>
      </w:r>
      <w:r w:rsidR="00CD5EBF">
        <w:t>виходячи із змісту проекту, було б доцільн</w:t>
      </w:r>
      <w:r w:rsidR="00870DF4">
        <w:t>им</w:t>
      </w:r>
      <w:r w:rsidR="00CD5EBF">
        <w:t xml:space="preserve"> уточнити </w:t>
      </w:r>
      <w:r w:rsidR="00870DF4">
        <w:t xml:space="preserve">його назву </w:t>
      </w:r>
      <w:r w:rsidR="00CD5EBF">
        <w:t xml:space="preserve">на «Про рейтингові агентства та рейтингування». </w:t>
      </w:r>
      <w:r w:rsidR="009B2097">
        <w:t xml:space="preserve"> </w:t>
      </w:r>
    </w:p>
    <w:p w:rsidR="00870DF4" w:rsidRDefault="009B2097" w:rsidP="009B2097">
      <w:pPr>
        <w:pStyle w:val="Igor"/>
        <w:spacing w:before="0" w:after="0"/>
      </w:pPr>
      <w:r>
        <w:t>Крім цього, проект має бути доповнений положеннями, які визначають статус рейтингового агентства, особливості створення тощо.  Зокрема, н</w:t>
      </w:r>
      <w:r w:rsidRPr="00856AE6">
        <w:t xml:space="preserve">а нашу думку, рейтингові агентства не можуть </w:t>
      </w:r>
      <w:r w:rsidR="00870DF4">
        <w:t xml:space="preserve">бути </w:t>
      </w:r>
      <w:r w:rsidRPr="00856AE6">
        <w:t>створ</w:t>
      </w:r>
      <w:r w:rsidR="00870DF4">
        <w:t xml:space="preserve">ені </w:t>
      </w:r>
      <w:r w:rsidRPr="00856AE6">
        <w:t>за участю держави</w:t>
      </w:r>
      <w:r>
        <w:t>, о</w:t>
      </w:r>
      <w:r w:rsidRPr="00856AE6">
        <w:t>рганів місцевого самоврядування</w:t>
      </w:r>
      <w:r>
        <w:t>, політичних партій тощо</w:t>
      </w:r>
      <w:r w:rsidRPr="00856AE6">
        <w:t xml:space="preserve">. </w:t>
      </w:r>
    </w:p>
    <w:p w:rsidR="00870DF4" w:rsidRDefault="00870DF4" w:rsidP="00870DF4">
      <w:pPr>
        <w:pStyle w:val="Igor"/>
        <w:spacing w:before="0" w:after="0"/>
      </w:pPr>
      <w:r>
        <w:t>2. Термінологічний апарат проекту вимагає доопрацювання. Зокрема:</w:t>
      </w:r>
    </w:p>
    <w:p w:rsidR="0093241E" w:rsidRDefault="00870DF4" w:rsidP="009B2097">
      <w:pPr>
        <w:pStyle w:val="Igor"/>
        <w:spacing w:before="0" w:after="0"/>
        <w:rPr>
          <w:bCs/>
        </w:rPr>
      </w:pPr>
      <w:r>
        <w:t xml:space="preserve">У </w:t>
      </w:r>
      <w:r w:rsidR="009B2097">
        <w:t>визначенні змісту терміну «</w:t>
      </w:r>
      <w:r w:rsidR="009B2097" w:rsidRPr="00856AE6">
        <w:t>рейтингове агентство</w:t>
      </w:r>
      <w:r w:rsidR="009B2097">
        <w:t xml:space="preserve">» </w:t>
      </w:r>
      <w:r w:rsidR="009B2097" w:rsidRPr="00856AE6">
        <w:t xml:space="preserve"> </w:t>
      </w:r>
      <w:r w:rsidR="009B2097">
        <w:t>(</w:t>
      </w:r>
      <w:r w:rsidR="009B2097" w:rsidRPr="00856AE6">
        <w:t>пункт 13 частини 1 статті 2 проекту</w:t>
      </w:r>
      <w:r w:rsidR="009B2097">
        <w:t>)</w:t>
      </w:r>
      <w:r w:rsidR="009B2097" w:rsidRPr="00856AE6">
        <w:t xml:space="preserve"> </w:t>
      </w:r>
      <w:r w:rsidR="002C59E7">
        <w:t>слід уточнити, за якими критеріями визначається, що «</w:t>
      </w:r>
      <w:r w:rsidR="002C59E7" w:rsidRPr="00856AE6">
        <w:rPr>
          <w:bCs/>
        </w:rPr>
        <w:t>присвоєння рейтингів на професійній основі</w:t>
      </w:r>
      <w:r w:rsidR="002C59E7">
        <w:rPr>
          <w:bCs/>
        </w:rPr>
        <w:t xml:space="preserve">» є </w:t>
      </w:r>
      <w:r w:rsidR="009B2097" w:rsidRPr="00856AE6">
        <w:rPr>
          <w:bCs/>
        </w:rPr>
        <w:t xml:space="preserve">переважним видом діяльності </w:t>
      </w:r>
      <w:r w:rsidR="002C59E7">
        <w:rPr>
          <w:bCs/>
        </w:rPr>
        <w:t>дл</w:t>
      </w:r>
      <w:r w:rsidR="009B2097" w:rsidRPr="00856AE6">
        <w:rPr>
          <w:bCs/>
        </w:rPr>
        <w:t>я</w:t>
      </w:r>
      <w:r w:rsidR="002C59E7">
        <w:rPr>
          <w:bCs/>
        </w:rPr>
        <w:t xml:space="preserve"> такого агентства. </w:t>
      </w:r>
      <w:r w:rsidR="0093241E">
        <w:rPr>
          <w:bCs/>
        </w:rPr>
        <w:t xml:space="preserve"> </w:t>
      </w:r>
    </w:p>
    <w:p w:rsidR="002A7814" w:rsidRDefault="0093241E" w:rsidP="009B2097">
      <w:pPr>
        <w:pStyle w:val="Igor"/>
        <w:spacing w:before="0" w:after="0"/>
        <w:rPr>
          <w:bCs/>
        </w:rPr>
      </w:pPr>
      <w:r>
        <w:rPr>
          <w:bCs/>
        </w:rPr>
        <w:t>Варто також визначитися із співвідношенням цього поняття з додатковими послугами АРА (частина 6 статті 14</w:t>
      </w:r>
      <w:r w:rsidR="00C21DB9">
        <w:rPr>
          <w:bCs/>
        </w:rPr>
        <w:t xml:space="preserve"> проекту</w:t>
      </w:r>
      <w:r>
        <w:rPr>
          <w:bCs/>
        </w:rPr>
        <w:t>), а також з тим, чи може АРА надавати інші послуги та здійснювати іншу діяльність.</w:t>
      </w:r>
    </w:p>
    <w:p w:rsidR="0093241E" w:rsidRDefault="0093241E" w:rsidP="009B2097">
      <w:pPr>
        <w:pStyle w:val="Igor"/>
        <w:spacing w:before="0" w:after="0"/>
        <w:rPr>
          <w:bCs/>
        </w:rPr>
      </w:pPr>
      <w:r>
        <w:rPr>
          <w:bCs/>
        </w:rPr>
        <w:lastRenderedPageBreak/>
        <w:t xml:space="preserve">Слід також звернути увагу на необхідність визначення відповідних критеріїв і </w:t>
      </w:r>
      <w:r w:rsidR="00870DF4">
        <w:rPr>
          <w:bCs/>
        </w:rPr>
        <w:t>в</w:t>
      </w:r>
      <w:r>
        <w:rPr>
          <w:bCs/>
        </w:rPr>
        <w:t xml:space="preserve"> інших випадках використання у проекті оціночних понять. Зокрема, йдеться про термін</w:t>
      </w:r>
      <w:r w:rsidR="005E2882">
        <w:rPr>
          <w:bCs/>
        </w:rPr>
        <w:t>и</w:t>
      </w:r>
      <w:r>
        <w:rPr>
          <w:bCs/>
        </w:rPr>
        <w:t xml:space="preserve"> «значний вплив» (частина 6  статті 14 проекту)</w:t>
      </w:r>
      <w:r w:rsidR="00AC6DB2">
        <w:rPr>
          <w:bCs/>
        </w:rPr>
        <w:t>,  «нещодавно» (пункт 3 частини 2 статті 16 проекту)</w:t>
      </w:r>
      <w:r w:rsidR="005E2882">
        <w:rPr>
          <w:bCs/>
        </w:rPr>
        <w:t>, «прийнятна домовленість» (пункт 8 частини 1 статті 21 проекту)</w:t>
      </w:r>
      <w:r>
        <w:rPr>
          <w:bCs/>
        </w:rPr>
        <w:t xml:space="preserve">. Зазначимо, що використання оціночних термінів без </w:t>
      </w:r>
      <w:r w:rsidR="00C21DB9">
        <w:rPr>
          <w:bCs/>
        </w:rPr>
        <w:t xml:space="preserve">таких </w:t>
      </w:r>
      <w:r>
        <w:rPr>
          <w:bCs/>
        </w:rPr>
        <w:t xml:space="preserve">чітких критеріїв створює передумови для </w:t>
      </w:r>
      <w:r w:rsidR="00AC6DB2">
        <w:rPr>
          <w:bCs/>
        </w:rPr>
        <w:t xml:space="preserve">певних зловживань, в тому числі корупційного характеру. </w:t>
      </w:r>
      <w:r>
        <w:rPr>
          <w:bCs/>
        </w:rPr>
        <w:t xml:space="preserve"> </w:t>
      </w:r>
    </w:p>
    <w:p w:rsidR="00F716C4" w:rsidRDefault="00DA6DE3" w:rsidP="00064610">
      <w:pPr>
        <w:pStyle w:val="Igor"/>
        <w:spacing w:before="0" w:after="0"/>
      </w:pPr>
      <w:r w:rsidRPr="00856AE6">
        <w:t xml:space="preserve">У пункті 1 частини 1 статті 2 проекту </w:t>
      </w:r>
      <w:r w:rsidR="00B24E21">
        <w:t>надається</w:t>
      </w:r>
      <w:r w:rsidRPr="00856AE6">
        <w:t xml:space="preserve"> визначення терміну «</w:t>
      </w:r>
      <w:r w:rsidR="00CF2608">
        <w:t>а</w:t>
      </w:r>
      <w:r w:rsidR="00CF2608" w:rsidRPr="00856AE6">
        <w:t>утсорс</w:t>
      </w:r>
      <w:r w:rsidR="00CF2608">
        <w:t>и</w:t>
      </w:r>
      <w:r w:rsidR="00CF2608" w:rsidRPr="00856AE6">
        <w:t>нг</w:t>
      </w:r>
      <w:r w:rsidRPr="00856AE6">
        <w:t>» як передач</w:t>
      </w:r>
      <w:r w:rsidR="00B24E21">
        <w:t>і</w:t>
      </w:r>
      <w:r w:rsidRPr="00856AE6">
        <w:t xml:space="preserve"> авторизованим рейтинговим агентством </w:t>
      </w:r>
      <w:r w:rsidR="00B24E21">
        <w:t>(</w:t>
      </w:r>
      <w:r w:rsidR="004D1CA1">
        <w:t xml:space="preserve">далі </w:t>
      </w:r>
      <w:r w:rsidR="00B24E21">
        <w:t xml:space="preserve">– АРА) </w:t>
      </w:r>
      <w:r w:rsidRPr="00856AE6">
        <w:t xml:space="preserve">третій особі виконання функцій, що здійснюється таким рейтинговим агентством. На нашу думку, перелік </w:t>
      </w:r>
      <w:r w:rsidR="00F716C4">
        <w:t xml:space="preserve">вказаних </w:t>
      </w:r>
      <w:r w:rsidRPr="00856AE6">
        <w:t>функцій</w:t>
      </w:r>
      <w:r w:rsidR="00F716C4">
        <w:t>,</w:t>
      </w:r>
      <w:r w:rsidRPr="00856AE6">
        <w:t xml:space="preserve"> </w:t>
      </w:r>
      <w:r w:rsidR="00B24E21">
        <w:t>вимог</w:t>
      </w:r>
      <w:r w:rsidR="00217DC6">
        <w:t>и</w:t>
      </w:r>
      <w:r w:rsidR="00B24E21">
        <w:t xml:space="preserve"> до </w:t>
      </w:r>
      <w:r w:rsidRPr="00856AE6">
        <w:t xml:space="preserve">третіх осіб, яким АРА </w:t>
      </w:r>
      <w:r w:rsidR="00B24E21">
        <w:t xml:space="preserve">передає </w:t>
      </w:r>
      <w:r w:rsidR="00217DC6">
        <w:t>ці функції</w:t>
      </w:r>
      <w:r w:rsidR="00B24E21">
        <w:t xml:space="preserve">, </w:t>
      </w:r>
      <w:r w:rsidR="00F716C4">
        <w:t xml:space="preserve">зміст відповідного договору </w:t>
      </w:r>
      <w:r w:rsidR="00B24E21">
        <w:t xml:space="preserve">мають бути детально визначені у проекті, як і питання солідарної відповідальності АРА та </w:t>
      </w:r>
      <w:r w:rsidR="00F716C4">
        <w:t xml:space="preserve">особи, якій АРА передала виконання власних функцій, за об’єктивність рейтингу. </w:t>
      </w:r>
      <w:r w:rsidRPr="00856AE6">
        <w:t>Адже за свої</w:t>
      </w:r>
      <w:r w:rsidR="00F716C4">
        <w:t>м</w:t>
      </w:r>
      <w:r w:rsidRPr="00856AE6">
        <w:t xml:space="preserve"> змістом аутсорсинг є формою субпідряду. </w:t>
      </w:r>
      <w:r w:rsidR="00F716C4">
        <w:t xml:space="preserve">При цьому </w:t>
      </w:r>
      <w:r w:rsidRPr="00856AE6">
        <w:t xml:space="preserve"> управління не підтримує можливість передачі </w:t>
      </w:r>
      <w:r w:rsidR="00F716C4">
        <w:t xml:space="preserve">на </w:t>
      </w:r>
      <w:r w:rsidRPr="00856AE6">
        <w:t>аутсорсинг так</w:t>
      </w:r>
      <w:r w:rsidR="00F716C4">
        <w:t>ої</w:t>
      </w:r>
      <w:r w:rsidRPr="00856AE6">
        <w:t xml:space="preserve"> функцій рейтингового </w:t>
      </w:r>
      <w:r w:rsidR="00F46C13" w:rsidRPr="00856AE6">
        <w:t>агентства</w:t>
      </w:r>
      <w:r w:rsidRPr="00856AE6">
        <w:t xml:space="preserve"> </w:t>
      </w:r>
      <w:r w:rsidR="00C02B63">
        <w:t xml:space="preserve">(які, на нашу думку, </w:t>
      </w:r>
      <w:r w:rsidR="00870DF4">
        <w:t xml:space="preserve">також </w:t>
      </w:r>
      <w:r w:rsidR="00C02B63">
        <w:t xml:space="preserve">мають бути чітко визначені у окремій статті проекту) </w:t>
      </w:r>
      <w:r w:rsidRPr="00856AE6">
        <w:t>як перегляд методології рейтингування</w:t>
      </w:r>
      <w:r w:rsidR="00F716C4">
        <w:t xml:space="preserve">. </w:t>
      </w:r>
    </w:p>
    <w:p w:rsidR="00CD5EBF" w:rsidRDefault="00CD5EBF" w:rsidP="00064610">
      <w:pPr>
        <w:pStyle w:val="Igor"/>
        <w:spacing w:before="0" w:after="0"/>
      </w:pPr>
      <w:r>
        <w:t xml:space="preserve">У визначенні терміну «відкликання рейтингу» (пункт 2 </w:t>
      </w:r>
      <w:r w:rsidRPr="00856AE6">
        <w:t>частини 1 статті 2 проекту</w:t>
      </w:r>
      <w:r>
        <w:t>) слід уточнити, що рейтинг вважається відкликаним з дня прийняття відповідного рішення.</w:t>
      </w:r>
    </w:p>
    <w:p w:rsidR="006B7A23" w:rsidRPr="00856AE6" w:rsidRDefault="006B7A23" w:rsidP="00064610">
      <w:pPr>
        <w:pStyle w:val="Igor"/>
        <w:spacing w:before="0" w:after="0"/>
      </w:pPr>
      <w:r w:rsidRPr="00856AE6">
        <w:t xml:space="preserve">У визначенні терміну «кредитний рейтинг» </w:t>
      </w:r>
      <w:r w:rsidR="00D51A59">
        <w:t>(</w:t>
      </w:r>
      <w:r w:rsidRPr="00856AE6">
        <w:t xml:space="preserve">пункт </w:t>
      </w:r>
      <w:r w:rsidR="00CD5EBF">
        <w:t>6</w:t>
      </w:r>
      <w:r w:rsidRPr="00856AE6">
        <w:t xml:space="preserve"> частини 1 статті 2 проекту</w:t>
      </w:r>
      <w:r w:rsidR="00D51A59">
        <w:t>)</w:t>
      </w:r>
      <w:r w:rsidRPr="00856AE6">
        <w:t xml:space="preserve"> пропонуємо </w:t>
      </w:r>
      <w:r w:rsidR="00DC6547" w:rsidRPr="00856AE6">
        <w:t xml:space="preserve">слово «судження» замінити на </w:t>
      </w:r>
      <w:r w:rsidR="00870DF4">
        <w:t xml:space="preserve">слово </w:t>
      </w:r>
      <w:r w:rsidR="00DC6547" w:rsidRPr="00856AE6">
        <w:t>«</w:t>
      </w:r>
      <w:r w:rsidR="00D51A59">
        <w:t>оцінка»</w:t>
      </w:r>
      <w:r w:rsidR="00DC6547" w:rsidRPr="00856AE6">
        <w:t xml:space="preserve">, </w:t>
      </w:r>
      <w:r w:rsidR="00464026" w:rsidRPr="00856AE6">
        <w:t>оскільки</w:t>
      </w:r>
      <w:r w:rsidR="00D51A59">
        <w:t xml:space="preserve">, </w:t>
      </w:r>
      <w:r w:rsidR="00870DF4">
        <w:t>воно,</w:t>
      </w:r>
      <w:r w:rsidR="00D51A59">
        <w:t xml:space="preserve"> на нашу думку, є більш точним. </w:t>
      </w:r>
      <w:r w:rsidR="00464026" w:rsidRPr="00856AE6">
        <w:t xml:space="preserve">Це зауваження стосується </w:t>
      </w:r>
      <w:r w:rsidR="00CD5EBF">
        <w:t xml:space="preserve">також </w:t>
      </w:r>
      <w:r w:rsidR="00464026" w:rsidRPr="00856AE6">
        <w:t>пункт</w:t>
      </w:r>
      <w:r w:rsidR="00CD5EBF">
        <w:t>ів</w:t>
      </w:r>
      <w:r w:rsidR="00464026" w:rsidRPr="00856AE6">
        <w:t xml:space="preserve"> </w:t>
      </w:r>
      <w:r w:rsidR="00CD5EBF">
        <w:t>12</w:t>
      </w:r>
      <w:r w:rsidR="00064610">
        <w:t xml:space="preserve"> та </w:t>
      </w:r>
      <w:r w:rsidR="00464026" w:rsidRPr="00856AE6">
        <w:t>18 частини 1 цієї статті</w:t>
      </w:r>
      <w:r w:rsidR="00064610">
        <w:t>. Крім цього, у визначенні терміну «рейтинг» доцільно уточнити, в чому полягає зміст відповідного судження (оцінки) рейтингового агентства про об’єкт рейтингування.</w:t>
      </w:r>
      <w:r w:rsidR="00464026" w:rsidRPr="00856AE6">
        <w:t xml:space="preserve"> </w:t>
      </w:r>
    </w:p>
    <w:p w:rsidR="00D51A59" w:rsidRDefault="00CD5EBF" w:rsidP="00064610">
      <w:pPr>
        <w:pStyle w:val="Igor"/>
        <w:spacing w:before="0" w:after="0"/>
      </w:pPr>
      <w:r>
        <w:t>У</w:t>
      </w:r>
      <w:r w:rsidR="00F77040" w:rsidRPr="00856AE6">
        <w:t xml:space="preserve"> визначенні терміну «провідний рейтинговий аналітик» та «рейтинговий аналітик» </w:t>
      </w:r>
      <w:r>
        <w:t>(</w:t>
      </w:r>
      <w:r w:rsidR="00F77040" w:rsidRPr="00856AE6">
        <w:t>пункт</w:t>
      </w:r>
      <w:r w:rsidR="00D51A59">
        <w:t>и</w:t>
      </w:r>
      <w:r w:rsidR="00F77040" w:rsidRPr="00856AE6">
        <w:t xml:space="preserve"> 11 та 14 частини 1 статті 2</w:t>
      </w:r>
      <w:r>
        <w:t>)</w:t>
      </w:r>
      <w:r w:rsidR="00F77040" w:rsidRPr="00856AE6">
        <w:t xml:space="preserve"> проекту пропонуємо уточнити, що </w:t>
      </w:r>
      <w:r w:rsidR="00D51A59">
        <w:t xml:space="preserve">ними </w:t>
      </w:r>
      <w:r w:rsidR="00F77040" w:rsidRPr="00856AE6">
        <w:t>мож</w:t>
      </w:r>
      <w:r w:rsidR="00D51A59">
        <w:t>уть</w:t>
      </w:r>
      <w:r w:rsidR="00F77040" w:rsidRPr="00856AE6">
        <w:t xml:space="preserve"> бути </w:t>
      </w:r>
      <w:r w:rsidR="006B2CB6" w:rsidRPr="00856AE6">
        <w:t xml:space="preserve">лише </w:t>
      </w:r>
      <w:r w:rsidR="00F77040" w:rsidRPr="00856AE6">
        <w:t>фізичн</w:t>
      </w:r>
      <w:r w:rsidR="00D51A59">
        <w:t>і</w:t>
      </w:r>
      <w:r w:rsidR="00F77040" w:rsidRPr="00856AE6">
        <w:t xml:space="preserve"> особ</w:t>
      </w:r>
      <w:r w:rsidR="00D51A59">
        <w:t>и</w:t>
      </w:r>
      <w:r w:rsidR="00F77040" w:rsidRPr="00856AE6">
        <w:t>.</w:t>
      </w:r>
    </w:p>
    <w:p w:rsidR="005E2882" w:rsidRDefault="005E2882" w:rsidP="00064610">
      <w:pPr>
        <w:pStyle w:val="Igor"/>
        <w:spacing w:before="0" w:after="0"/>
      </w:pPr>
      <w:r>
        <w:t>У пункті 22 частини 1 цієї статті бажано уточнити, яким органам державної влади може бути присвоєний суверенний рейтинг.</w:t>
      </w:r>
    </w:p>
    <w:p w:rsidR="00D51A59" w:rsidRDefault="00CD5EBF" w:rsidP="00064610">
      <w:pPr>
        <w:pStyle w:val="Igor"/>
        <w:spacing w:before="0" w:after="0"/>
      </w:pPr>
      <w:r>
        <w:t xml:space="preserve">Крім цього, на нашу думку, було б корисним доповнити статтю 2 проекту визначенням змісту терміну «рейтингування».   </w:t>
      </w:r>
    </w:p>
    <w:p w:rsidR="00C62566" w:rsidRDefault="00CD5EBF" w:rsidP="00064610">
      <w:pPr>
        <w:pStyle w:val="Igor"/>
        <w:spacing w:before="0" w:after="0"/>
      </w:pPr>
      <w:r>
        <w:t xml:space="preserve">Вважаємо також, що </w:t>
      </w:r>
      <w:r w:rsidR="00C62566">
        <w:t xml:space="preserve">зміст певного терміну має розкриватися через його ознаки чи характерні риси, які відрізняють його від інших термінів. З огляду на це </w:t>
      </w:r>
      <w:r w:rsidR="001A01AE">
        <w:t xml:space="preserve">просте </w:t>
      </w:r>
      <w:r w:rsidR="00C62566">
        <w:t xml:space="preserve">перерахування певних суб’єктів чи об’єктів не може вважатися визначенням змісту відповідного терміну. Це зауваження стосується, зокрема, </w:t>
      </w:r>
      <w:r>
        <w:t>таких термінів як «користувачі рейтингів»</w:t>
      </w:r>
      <w:r w:rsidR="00C62566">
        <w:t xml:space="preserve"> (пункт 5 </w:t>
      </w:r>
      <w:r w:rsidR="00C62566" w:rsidRPr="00856AE6">
        <w:t>частини 1 статті 2 проекту</w:t>
      </w:r>
      <w:r w:rsidR="00C62566">
        <w:t xml:space="preserve">), «ринок рейтингування» (пункт 19 </w:t>
      </w:r>
      <w:r w:rsidR="00C62566" w:rsidRPr="00856AE6">
        <w:t>частини 1 статті 2 проекту</w:t>
      </w:r>
      <w:r w:rsidR="00C62566">
        <w:t xml:space="preserve">), </w:t>
      </w:r>
      <w:r w:rsidR="00C62566" w:rsidRPr="00856AE6">
        <w:t xml:space="preserve"> </w:t>
      </w:r>
      <w:r w:rsidR="00C62566">
        <w:t xml:space="preserve">«учасники ринку рейтингування» (пункт 23 </w:t>
      </w:r>
      <w:r w:rsidR="00C62566" w:rsidRPr="00856AE6">
        <w:t>частини 1 статті 2 проекту</w:t>
      </w:r>
      <w:r w:rsidR="00C62566">
        <w:t xml:space="preserve">). </w:t>
      </w:r>
      <w:r w:rsidR="00C62566" w:rsidRPr="00856AE6">
        <w:t xml:space="preserve"> </w:t>
      </w:r>
      <w:r w:rsidR="00C62566">
        <w:t xml:space="preserve">У зв’язку з цим слід або визначити, за яких умов, наприклад, держава, інвестори, емітенти та фінансові установи вважаються «користувачами рейтингів» або, </w:t>
      </w:r>
      <w:r w:rsidR="00C62566">
        <w:lastRenderedPageBreak/>
        <w:t xml:space="preserve">якщо з тих чи інших причин </w:t>
      </w:r>
      <w:r w:rsidR="001A01AE">
        <w:t xml:space="preserve">це </w:t>
      </w:r>
      <w:r w:rsidR="00C62566">
        <w:t>неможливо зробити, відмовиться від визначення змісту цього терміну.</w:t>
      </w:r>
    </w:p>
    <w:p w:rsidR="001A01AE" w:rsidRDefault="00064610" w:rsidP="00064610">
      <w:pPr>
        <w:pStyle w:val="Igor"/>
        <w:spacing w:before="0" w:after="0"/>
      </w:pPr>
      <w:r>
        <w:t>3</w:t>
      </w:r>
      <w:r w:rsidR="00C62566">
        <w:t xml:space="preserve">. </w:t>
      </w:r>
      <w:r>
        <w:t>На нашу думку, існування приватних рейтингів (частина 2 статті 4 проекту)</w:t>
      </w:r>
      <w:r w:rsidR="009C323E">
        <w:t xml:space="preserve"> не узгоджується з таким принципом рейтингової д</w:t>
      </w:r>
      <w:r>
        <w:t>і</w:t>
      </w:r>
      <w:r w:rsidR="009C323E">
        <w:t xml:space="preserve">яльності  як публічність присвоєння рейтинговим агентством рейтингу (пункт 5 частини 1 статті 3). </w:t>
      </w:r>
    </w:p>
    <w:p w:rsidR="009C323E" w:rsidRDefault="009C323E" w:rsidP="00064610">
      <w:pPr>
        <w:pStyle w:val="Igor"/>
        <w:spacing w:before="0" w:after="0"/>
      </w:pPr>
      <w:r>
        <w:t>Крім цього, наряд чи об’єктивність рейтингу означає скептичне ставлення до нього, як це передбачено у пункті 12 вказаної частини статті 3.</w:t>
      </w:r>
      <w:r w:rsidR="002C59E7">
        <w:t xml:space="preserve"> Більш того, як</w:t>
      </w:r>
      <w:r w:rsidR="001A01AE">
        <w:t>що</w:t>
      </w:r>
      <w:r w:rsidR="002C59E7">
        <w:t xml:space="preserve"> закон декларує скептичне ставлення до рейтингів</w:t>
      </w:r>
      <w:r w:rsidR="001A01AE">
        <w:t>, то</w:t>
      </w:r>
      <w:r w:rsidR="002C59E7">
        <w:t xml:space="preserve"> стає незрозумілим навіщо його приймати. На нашу думку, завданням закону має бути забезпечення довіри до рейтингів, що, наприклад, </w:t>
      </w:r>
      <w:r w:rsidR="001A01AE">
        <w:t xml:space="preserve">має </w:t>
      </w:r>
      <w:r w:rsidR="002C59E7">
        <w:t xml:space="preserve">заохочувати  інвесторів до вкладення коштів </w:t>
      </w:r>
      <w:r w:rsidR="001A01AE">
        <w:t>у</w:t>
      </w:r>
      <w:r w:rsidR="002C59E7">
        <w:t xml:space="preserve"> цінні папери емітентів з високим рівнем відповідного рейтингу. </w:t>
      </w:r>
    </w:p>
    <w:p w:rsidR="009B2097" w:rsidRDefault="009C323E" w:rsidP="00064610">
      <w:pPr>
        <w:pStyle w:val="Igor"/>
        <w:spacing w:before="0" w:after="0"/>
      </w:pPr>
      <w:r>
        <w:t xml:space="preserve">4. У статті 4 проекту визначаються види рейтингів. Причому, якщо зміст кредитного та суверенного рейтингів розкривається у статті 2 проекту, то зміст рейтингу корпоративного управління і рейтингу фінансової надійності </w:t>
      </w:r>
      <w:r w:rsidR="009B2097">
        <w:t xml:space="preserve">- </w:t>
      </w:r>
      <w:r>
        <w:t xml:space="preserve">ні. У зв’язку з цим пропонуємо </w:t>
      </w:r>
      <w:r w:rsidR="009B2097">
        <w:t xml:space="preserve">доповнити статтю 2 визначенням відповідних термінів. Крім цього, вважаємо, що рейтинг </w:t>
      </w:r>
      <w:r>
        <w:t xml:space="preserve"> </w:t>
      </w:r>
      <w:r w:rsidR="009B2097">
        <w:t xml:space="preserve">фінансової надійності має стосуватися не лише страховиків, а й інших фінансових установ. </w:t>
      </w:r>
    </w:p>
    <w:p w:rsidR="009B2097" w:rsidRDefault="009B2097" w:rsidP="00064610">
      <w:pPr>
        <w:pStyle w:val="Igor"/>
        <w:spacing w:before="0" w:after="0"/>
      </w:pPr>
      <w:r>
        <w:t>Варто також звернути увагу на необхідність визначення у проекті рейтингових шкал щодо рейтингу корпоративного управління та рейтингу фінансової надійності, як</w:t>
      </w:r>
      <w:r w:rsidR="00C21DB9">
        <w:t xml:space="preserve"> це зроблено у</w:t>
      </w:r>
      <w:r>
        <w:t xml:space="preserve"> статті 5 проекту «Національна кредитна-рейтингова шкала»</w:t>
      </w:r>
      <w:r w:rsidR="00C21DB9">
        <w:t xml:space="preserve"> щодо кредитного рейтингу</w:t>
      </w:r>
      <w:r>
        <w:t>.</w:t>
      </w:r>
    </w:p>
    <w:p w:rsidR="000F3FFC" w:rsidRDefault="0002039F" w:rsidP="00064610">
      <w:pPr>
        <w:pStyle w:val="Igor"/>
        <w:spacing w:before="0" w:after="0"/>
      </w:pPr>
      <w:r>
        <w:t>5</w:t>
      </w:r>
      <w:r w:rsidR="008B07EE" w:rsidRPr="00856AE6">
        <w:t xml:space="preserve">. </w:t>
      </w:r>
      <w:r w:rsidR="00F46C13" w:rsidRPr="00856AE6">
        <w:t>У частин</w:t>
      </w:r>
      <w:r w:rsidR="00C21DB9">
        <w:t>ах</w:t>
      </w:r>
      <w:r w:rsidR="00F46C13" w:rsidRPr="00856AE6">
        <w:t xml:space="preserve"> 3 та 4 статті 6 проекту зазначається, що фінансові установи та інституційні інвестори не можуть покладались у своїй діяльності виключно на публічний рейтинг. </w:t>
      </w:r>
      <w:r w:rsidR="002C59E7">
        <w:t>Проте не</w:t>
      </w:r>
      <w:r w:rsidR="001A01AE">
        <w:t xml:space="preserve">зрозуміло як це має </w:t>
      </w:r>
      <w:r w:rsidR="002C59E7">
        <w:t>формаліз</w:t>
      </w:r>
      <w:r w:rsidR="001A01AE">
        <w:t xml:space="preserve">уватися </w:t>
      </w:r>
      <w:r w:rsidR="000F3FFC">
        <w:t xml:space="preserve">у конкретній діяльності вказаних осіб </w:t>
      </w:r>
      <w:r w:rsidR="002C59E7">
        <w:t xml:space="preserve">та </w:t>
      </w:r>
      <w:r w:rsidR="001A01AE">
        <w:t xml:space="preserve">в чому полягають </w:t>
      </w:r>
      <w:r w:rsidR="002C59E7">
        <w:t>правові наслідки  недотримання</w:t>
      </w:r>
      <w:r w:rsidR="001A01AE">
        <w:t xml:space="preserve"> цієї вимоги</w:t>
      </w:r>
      <w:r w:rsidR="000F3FFC">
        <w:t>.</w:t>
      </w:r>
      <w:r w:rsidR="002C59E7">
        <w:t xml:space="preserve"> Більш юридично коректним було б формулювання відповідного положення у вигляді </w:t>
      </w:r>
      <w:r w:rsidR="000F3FFC">
        <w:t xml:space="preserve">переліку інформації, яку </w:t>
      </w:r>
      <w:r>
        <w:t>ці о</w:t>
      </w:r>
      <w:r w:rsidR="000F3FFC">
        <w:t>соби можуть використовувати у своїй діяльності разом з рейтингами.</w:t>
      </w:r>
    </w:p>
    <w:p w:rsidR="004D1CA1" w:rsidRDefault="004D1CA1" w:rsidP="004D1CA1">
      <w:pPr>
        <w:pStyle w:val="Igor"/>
        <w:spacing w:before="0" w:after="0"/>
        <w:rPr>
          <w:bCs/>
        </w:rPr>
      </w:pPr>
      <w:r>
        <w:t xml:space="preserve">6. У </w:t>
      </w:r>
      <w:r>
        <w:rPr>
          <w:bCs/>
        </w:rPr>
        <w:t>пункті 3 частини 1 статті 13 проекту йдеться про «істотні ділові відносини», «істотність» яких, згідно з частиною 3 цієї статті, визначається статутом або положенням про наглядову раду рейтингового агентства». Проте такий підхід створює загрози зловживання при визначенні такої участі з боку недобросовісних рейтингових агентств. У зв’язку з цим, на нашу думку, критерії, за якими ділові відносини визнаються істотними</w:t>
      </w:r>
      <w:r w:rsidR="001A01AE">
        <w:rPr>
          <w:bCs/>
        </w:rPr>
        <w:t>,</w:t>
      </w:r>
      <w:r>
        <w:rPr>
          <w:bCs/>
        </w:rPr>
        <w:t xml:space="preserve"> мають визначатися Національною комісією з цінних паперів та фондового ринку ( далі – НКЦПФР).</w:t>
      </w:r>
    </w:p>
    <w:p w:rsidR="004D1CA1" w:rsidRDefault="004D1CA1" w:rsidP="004D1CA1">
      <w:pPr>
        <w:pStyle w:val="Igor"/>
        <w:spacing w:before="0" w:after="0"/>
        <w:rPr>
          <w:bCs/>
        </w:rPr>
      </w:pPr>
      <w:r>
        <w:rPr>
          <w:bCs/>
        </w:rPr>
        <w:t>Крім цього, зміст частини 4 цієї статті має бути викладен</w:t>
      </w:r>
      <w:r w:rsidR="001A01AE">
        <w:rPr>
          <w:bCs/>
        </w:rPr>
        <w:t>ий</w:t>
      </w:r>
      <w:r>
        <w:rPr>
          <w:bCs/>
        </w:rPr>
        <w:t xml:space="preserve"> чіткіше.</w:t>
      </w:r>
    </w:p>
    <w:p w:rsidR="0093241E" w:rsidRDefault="0093241E" w:rsidP="004D1CA1">
      <w:pPr>
        <w:pStyle w:val="Igor"/>
        <w:spacing w:before="0" w:after="0"/>
        <w:rPr>
          <w:bCs/>
        </w:rPr>
      </w:pPr>
      <w:r>
        <w:rPr>
          <w:bCs/>
        </w:rPr>
        <w:t xml:space="preserve">7. У частині 1 статті 14 проекту до осіб, щодо яких застосовуються обмеження, передбачені у частині 2 цієї статті, слід </w:t>
      </w:r>
      <w:r w:rsidR="001A01AE">
        <w:rPr>
          <w:bCs/>
        </w:rPr>
        <w:t xml:space="preserve">додати </w:t>
      </w:r>
      <w:r>
        <w:rPr>
          <w:bCs/>
        </w:rPr>
        <w:t>членів органів управління АРА, оскільки частина з них може не брати безпосередню участь у рейтинговій діяльності.</w:t>
      </w:r>
    </w:p>
    <w:p w:rsidR="0093241E" w:rsidRDefault="0093241E" w:rsidP="00064610">
      <w:pPr>
        <w:pStyle w:val="Igor"/>
        <w:spacing w:before="0" w:after="0"/>
      </w:pPr>
      <w:r>
        <w:rPr>
          <w:bCs/>
        </w:rPr>
        <w:lastRenderedPageBreak/>
        <w:t xml:space="preserve">Крім цього, у частині 5 цієї статті </w:t>
      </w:r>
      <w:r w:rsidR="00F2333E" w:rsidRPr="00856AE6">
        <w:t>поряд</w:t>
      </w:r>
      <w:r>
        <w:t>о</w:t>
      </w:r>
      <w:r w:rsidR="00F2333E" w:rsidRPr="00856AE6">
        <w:t>к визначення ціни надання рейтингових послуг</w:t>
      </w:r>
      <w:r>
        <w:t xml:space="preserve"> має бути визначений докладніше.</w:t>
      </w:r>
    </w:p>
    <w:p w:rsidR="00AC6DB2" w:rsidRDefault="00AC6DB2" w:rsidP="00064610">
      <w:pPr>
        <w:pStyle w:val="Igor"/>
        <w:spacing w:before="0" w:after="0"/>
      </w:pPr>
      <w:r>
        <w:t xml:space="preserve">8. У частині 4 статті 15 проекту слід </w:t>
      </w:r>
      <w:r w:rsidR="00BA015C" w:rsidRPr="00BA015C">
        <w:t>ч</w:t>
      </w:r>
      <w:r w:rsidR="00BA015C">
        <w:t>і</w:t>
      </w:r>
      <w:r w:rsidR="00BA015C" w:rsidRPr="00BA015C">
        <w:t>тк</w:t>
      </w:r>
      <w:r w:rsidR="00BA015C">
        <w:t>і</w:t>
      </w:r>
      <w:r w:rsidR="00BA015C" w:rsidRPr="00BA015C">
        <w:t xml:space="preserve">ше </w:t>
      </w:r>
      <w:r>
        <w:t>визначити, в чому саме полягає ротація рейтингових аналітиків та осіб, які затверджують рейтинги</w:t>
      </w:r>
      <w:r w:rsidR="00AE4188" w:rsidRPr="00856AE6">
        <w:t>.</w:t>
      </w:r>
    </w:p>
    <w:p w:rsidR="005E2882" w:rsidRDefault="007A244D" w:rsidP="00064610">
      <w:pPr>
        <w:pStyle w:val="Igor"/>
        <w:spacing w:before="0" w:after="0"/>
      </w:pPr>
      <w:r>
        <w:t xml:space="preserve">9. У частині 1 статті 18 проекту потрібно врахувати, що згідно з </w:t>
      </w:r>
      <w:r w:rsidR="005E2882">
        <w:t xml:space="preserve">пунктом 22 </w:t>
      </w:r>
      <w:r>
        <w:t>частин</w:t>
      </w:r>
      <w:r w:rsidR="005E2882">
        <w:t xml:space="preserve">и 1 статті 2 суверенні рейтинги надаються державі, органам державної влади, </w:t>
      </w:r>
      <w:r>
        <w:t>о</w:t>
      </w:r>
      <w:r w:rsidR="005E2882">
        <w:t xml:space="preserve">рганам місцевого самоврядування, їхнім боргам або фінансовим інструментам та міжнародним </w:t>
      </w:r>
      <w:r>
        <w:t>ф</w:t>
      </w:r>
      <w:r w:rsidR="005E2882">
        <w:t xml:space="preserve">інансовим організаціям, а не регіонам, як це передбачається у </w:t>
      </w:r>
      <w:r w:rsidR="001A01AE">
        <w:t xml:space="preserve">частині 1 </w:t>
      </w:r>
      <w:r w:rsidR="005E2882">
        <w:t>статті 18 проекту.</w:t>
      </w:r>
    </w:p>
    <w:p w:rsidR="00C87051" w:rsidRDefault="00C87051" w:rsidP="00064610">
      <w:pPr>
        <w:pStyle w:val="Igor"/>
        <w:spacing w:before="0" w:after="0"/>
      </w:pPr>
      <w:r>
        <w:t xml:space="preserve">Крім цього, </w:t>
      </w:r>
      <w:r w:rsidR="006D254B">
        <w:t xml:space="preserve">припущення про те, що кредитний рейтинг, присвоєний у </w:t>
      </w:r>
      <w:r>
        <w:t xml:space="preserve">рейтинговим агентством, заснованим  у </w:t>
      </w:r>
      <w:r w:rsidR="006D254B">
        <w:t>іншій країні</w:t>
      </w:r>
      <w:r>
        <w:t>, вважається кредитним рейтингом АРА (тобто іншого агентства) (абзац 1 частини 2)</w:t>
      </w:r>
      <w:r w:rsidR="001A01AE">
        <w:t>,</w:t>
      </w:r>
      <w:r>
        <w:t xml:space="preserve"> є доволі сумнівним, зокрема, з огляду на право інтелектуальної власності на відповідний продукт. </w:t>
      </w:r>
    </w:p>
    <w:p w:rsidR="001849DB" w:rsidRDefault="00CC4C09" w:rsidP="00064610">
      <w:pPr>
        <w:pStyle w:val="Igor"/>
        <w:spacing w:before="0" w:after="0"/>
      </w:pPr>
      <w:r>
        <w:t>10. У частині 7 статті 22 проекту доцільно уточнити,</w:t>
      </w:r>
      <w:r w:rsidR="006D254B">
        <w:t xml:space="preserve"> </w:t>
      </w:r>
      <w:r>
        <w:t>що таке «попередній огляд» та «попередній рейтинг»</w:t>
      </w:r>
      <w:r w:rsidR="001849DB">
        <w:t>, а у частині 8 цієї статті  - «тип рейтингу»</w:t>
      </w:r>
      <w:r>
        <w:t xml:space="preserve">.  </w:t>
      </w:r>
    </w:p>
    <w:p w:rsidR="006F287F" w:rsidRDefault="00CC4C09" w:rsidP="00064610">
      <w:pPr>
        <w:pStyle w:val="Igor"/>
        <w:spacing w:before="0" w:after="0"/>
      </w:pPr>
      <w:r>
        <w:t>1</w:t>
      </w:r>
      <w:r w:rsidR="001849DB">
        <w:t xml:space="preserve">1. Пропонуємо доповнити статтю 26 проекту положеннями, які мають забезпечити </w:t>
      </w:r>
      <w:r w:rsidR="006F287F">
        <w:t>при прид</w:t>
      </w:r>
      <w:r w:rsidR="001A01AE">
        <w:t>б</w:t>
      </w:r>
      <w:r w:rsidR="006F287F">
        <w:t>анні частки у статутному капіталі АРА дотримання  вимог частини 1 статті 7 проекту про заборону авторизації рейтингових агентств, які прямо чи опосередковано контролюються особами, які є громадянами та (або) резидентами країни агресора.</w:t>
      </w:r>
    </w:p>
    <w:p w:rsidR="001D2700" w:rsidRPr="00856AE6" w:rsidRDefault="006F287F" w:rsidP="00064610">
      <w:pPr>
        <w:pStyle w:val="Igor"/>
        <w:spacing w:before="0" w:after="0"/>
        <w:rPr>
          <w:bCs/>
        </w:rPr>
      </w:pPr>
      <w:r>
        <w:t xml:space="preserve">12. У </w:t>
      </w:r>
      <w:r w:rsidR="00FC373D" w:rsidRPr="00856AE6">
        <w:t>статті 30 проекту пропонується визначити порядок проведення НКЦПФР перевірок у сфері рейтингування. Насамперед</w:t>
      </w:r>
      <w:r>
        <w:t>,</w:t>
      </w:r>
      <w:r w:rsidR="00FC373D" w:rsidRPr="00856AE6">
        <w:t xml:space="preserve"> зазначимо, що  </w:t>
      </w:r>
      <w:r>
        <w:t>порядок проведення п</w:t>
      </w:r>
      <w:r w:rsidR="00FC373D" w:rsidRPr="00856AE6">
        <w:t xml:space="preserve">еревірок </w:t>
      </w:r>
      <w:r w:rsidR="001D2700" w:rsidRPr="00856AE6">
        <w:t>суб’єктів</w:t>
      </w:r>
      <w:r w:rsidR="00FC373D" w:rsidRPr="00856AE6">
        <w:t xml:space="preserve"> </w:t>
      </w:r>
      <w:r w:rsidR="001D2700" w:rsidRPr="00856AE6">
        <w:t>господарювання</w:t>
      </w:r>
      <w:r w:rsidR="006B2CB6" w:rsidRPr="00856AE6">
        <w:t>,</w:t>
      </w:r>
      <w:r w:rsidR="00FC373D" w:rsidRPr="00856AE6">
        <w:t xml:space="preserve"> </w:t>
      </w:r>
      <w:r>
        <w:t>ді</w:t>
      </w:r>
      <w:r w:rsidR="00FC373D" w:rsidRPr="00856AE6">
        <w:t>яльність яких пов’язана з р</w:t>
      </w:r>
      <w:r>
        <w:t xml:space="preserve">ейтингуванням, </w:t>
      </w:r>
      <w:r w:rsidR="00FC373D" w:rsidRPr="00856AE6">
        <w:t xml:space="preserve"> </w:t>
      </w:r>
      <w:r>
        <w:t xml:space="preserve">має визначатися </w:t>
      </w:r>
      <w:r w:rsidR="00007EF0">
        <w:t xml:space="preserve">відповідно до </w:t>
      </w:r>
      <w:r w:rsidR="00E20592" w:rsidRPr="00856AE6">
        <w:t>Закон</w:t>
      </w:r>
      <w:r w:rsidR="00007EF0">
        <w:t>у</w:t>
      </w:r>
      <w:r w:rsidR="00E20592" w:rsidRPr="00856AE6">
        <w:t xml:space="preserve"> України «Про основні засади державного нагляду (контролю) у </w:t>
      </w:r>
      <w:r w:rsidR="00FC373D" w:rsidRPr="00856AE6">
        <w:t xml:space="preserve">сфері господарської діяльності». </w:t>
      </w:r>
      <w:r w:rsidR="001D2700" w:rsidRPr="00856AE6">
        <w:t xml:space="preserve">У цьому контексті звертаємо увагу на Розпорядження Кабінету </w:t>
      </w:r>
      <w:r w:rsidR="006B2CB6" w:rsidRPr="00856AE6">
        <w:t>М</w:t>
      </w:r>
      <w:r w:rsidR="001D2700" w:rsidRPr="00856AE6">
        <w:t>іністрів України від 10 березня 2017 року № 169-р «</w:t>
      </w:r>
      <w:r w:rsidR="001D2700" w:rsidRPr="00856AE6">
        <w:rPr>
          <w:rStyle w:val="st24"/>
          <w:b w:val="0"/>
          <w:sz w:val="28"/>
          <w:szCs w:val="28"/>
        </w:rPr>
        <w:t xml:space="preserve">Про скасування деяких наказів міністерств та інших центральних органів виконавчої влади», згідно з яким </w:t>
      </w:r>
      <w:r w:rsidR="001A01AE">
        <w:rPr>
          <w:rStyle w:val="st24"/>
          <w:b w:val="0"/>
          <w:sz w:val="28"/>
          <w:szCs w:val="28"/>
        </w:rPr>
        <w:t xml:space="preserve">НКЦПФР </w:t>
      </w:r>
      <w:r w:rsidR="001D2700" w:rsidRPr="00856AE6">
        <w:rPr>
          <w:rStyle w:val="st24"/>
          <w:b w:val="0"/>
          <w:sz w:val="28"/>
          <w:szCs w:val="28"/>
        </w:rPr>
        <w:t>рекомендовано привести власні нормативно-правові акти, які регулюють порядок здійснення контролю за суб’єктами господарювання на фондовому ринку</w:t>
      </w:r>
      <w:r w:rsidR="001A01AE">
        <w:rPr>
          <w:rStyle w:val="st24"/>
          <w:b w:val="0"/>
          <w:sz w:val="28"/>
          <w:szCs w:val="28"/>
        </w:rPr>
        <w:t>,</w:t>
      </w:r>
      <w:r w:rsidR="001D2700" w:rsidRPr="00856AE6">
        <w:rPr>
          <w:rStyle w:val="st24"/>
          <w:b w:val="0"/>
          <w:sz w:val="28"/>
          <w:szCs w:val="28"/>
        </w:rPr>
        <w:t xml:space="preserve"> у відповідність до Закону України </w:t>
      </w:r>
      <w:r w:rsidR="001D2700" w:rsidRPr="00856AE6">
        <w:rPr>
          <w:rStyle w:val="st42"/>
          <w:sz w:val="28"/>
          <w:szCs w:val="28"/>
        </w:rPr>
        <w:t xml:space="preserve">«Про основні засади державного нагляду (контролю) у сфері господарської діяльності» та інших законів України. У зв’язку з цим пропонуємо </w:t>
      </w:r>
      <w:r w:rsidR="003F419E" w:rsidRPr="00856AE6">
        <w:rPr>
          <w:rStyle w:val="st42"/>
          <w:sz w:val="28"/>
          <w:szCs w:val="28"/>
        </w:rPr>
        <w:t>у статті 30 проекту зазначити, що проведення НКЦПФР перевірок у сфері рейтингування здійснюється у порядку</w:t>
      </w:r>
      <w:r w:rsidR="00007EF0">
        <w:rPr>
          <w:rStyle w:val="st42"/>
          <w:sz w:val="28"/>
          <w:szCs w:val="28"/>
        </w:rPr>
        <w:t>,</w:t>
      </w:r>
      <w:r w:rsidR="003F419E" w:rsidRPr="00856AE6">
        <w:rPr>
          <w:rStyle w:val="st42"/>
          <w:sz w:val="28"/>
          <w:szCs w:val="28"/>
        </w:rPr>
        <w:t xml:space="preserve"> визначеному в </w:t>
      </w:r>
      <w:r w:rsidR="003F419E" w:rsidRPr="00856AE6">
        <w:rPr>
          <w:rStyle w:val="st24"/>
          <w:b w:val="0"/>
          <w:sz w:val="28"/>
          <w:szCs w:val="28"/>
        </w:rPr>
        <w:t xml:space="preserve">Законі України </w:t>
      </w:r>
      <w:r w:rsidR="003F419E" w:rsidRPr="00856AE6">
        <w:rPr>
          <w:rStyle w:val="st42"/>
          <w:sz w:val="28"/>
          <w:szCs w:val="28"/>
        </w:rPr>
        <w:t>«Про основні засади державного нагляду (контролю) у сфері господарської діяльності».</w:t>
      </w:r>
      <w:r w:rsidR="002B3412" w:rsidRPr="00856AE6">
        <w:rPr>
          <w:rStyle w:val="st42"/>
          <w:sz w:val="28"/>
          <w:szCs w:val="28"/>
        </w:rPr>
        <w:t xml:space="preserve"> </w:t>
      </w:r>
      <w:r w:rsidR="006B2CB6" w:rsidRPr="00856AE6">
        <w:rPr>
          <w:rStyle w:val="st42"/>
          <w:sz w:val="28"/>
          <w:szCs w:val="28"/>
        </w:rPr>
        <w:t>З</w:t>
      </w:r>
      <w:r w:rsidR="002B3412" w:rsidRPr="00856AE6">
        <w:rPr>
          <w:rStyle w:val="st42"/>
          <w:sz w:val="28"/>
          <w:szCs w:val="28"/>
        </w:rPr>
        <w:t>азначене зауваження також стосується положень статті 40 проекту щодо оприлюднення НКЦПФР  інформації про початок перевірок суб’єктів рейтингування.</w:t>
      </w:r>
    </w:p>
    <w:p w:rsidR="003F419E" w:rsidRPr="00856AE6" w:rsidRDefault="001D2700" w:rsidP="00064610">
      <w:pPr>
        <w:pStyle w:val="Igor"/>
        <w:spacing w:before="0" w:after="0"/>
        <w:rPr>
          <w:rStyle w:val="st46"/>
          <w:i w:val="0"/>
          <w:sz w:val="28"/>
          <w:szCs w:val="28"/>
        </w:rPr>
      </w:pPr>
      <w:r w:rsidRPr="00856AE6">
        <w:t xml:space="preserve"> </w:t>
      </w:r>
      <w:r w:rsidR="003F419E" w:rsidRPr="00856AE6">
        <w:t>1</w:t>
      </w:r>
      <w:r w:rsidR="00207408" w:rsidRPr="00856AE6">
        <w:t>4</w:t>
      </w:r>
      <w:r w:rsidR="003F419E" w:rsidRPr="00856AE6">
        <w:t xml:space="preserve">. </w:t>
      </w:r>
      <w:r w:rsidR="002B75B6" w:rsidRPr="00856AE6">
        <w:t xml:space="preserve">У статті 33 проекту пропонується покласти державне регулювання у сфері рейтингування на НКЦПФР. На нашу думку, </w:t>
      </w:r>
      <w:r w:rsidR="00007EF0">
        <w:t xml:space="preserve">окремі питання </w:t>
      </w:r>
      <w:r w:rsidR="002B75B6" w:rsidRPr="00856AE6">
        <w:t>державн</w:t>
      </w:r>
      <w:r w:rsidR="00007EF0">
        <w:t>ого</w:t>
      </w:r>
      <w:r w:rsidR="002B75B6" w:rsidRPr="00856AE6">
        <w:t xml:space="preserve"> регулювання </w:t>
      </w:r>
      <w:r w:rsidR="00020CD5" w:rsidRPr="00856AE6">
        <w:t xml:space="preserve">у сфері рейтингування таких фінансових установ як банки та </w:t>
      </w:r>
      <w:r w:rsidR="00020CD5" w:rsidRPr="00856AE6">
        <w:lastRenderedPageBreak/>
        <w:t xml:space="preserve">страхові компанії, їх боргових </w:t>
      </w:r>
      <w:r w:rsidR="00AD3D5E" w:rsidRPr="00856AE6">
        <w:t>зобов’язань</w:t>
      </w:r>
      <w:r w:rsidR="00007EF0">
        <w:t xml:space="preserve"> тощо </w:t>
      </w:r>
      <w:r w:rsidR="00651738">
        <w:t xml:space="preserve">доцільніше </w:t>
      </w:r>
      <w:r w:rsidR="00AD3D5E" w:rsidRPr="00856AE6">
        <w:t xml:space="preserve">покласти на відповідні державні регулятори, а саме Національний банк України та національну </w:t>
      </w:r>
      <w:r w:rsidR="00AD3D5E" w:rsidRPr="00856AE6">
        <w:rPr>
          <w:rStyle w:val="st46"/>
          <w:i w:val="0"/>
          <w:sz w:val="28"/>
          <w:szCs w:val="28"/>
        </w:rPr>
        <w:t>комісію, що здійснює державне регулювання у сфері ринків фінансових послуг</w:t>
      </w:r>
      <w:r w:rsidR="009D3B16" w:rsidRPr="00856AE6">
        <w:rPr>
          <w:rStyle w:val="st46"/>
          <w:i w:val="0"/>
          <w:sz w:val="28"/>
          <w:szCs w:val="28"/>
        </w:rPr>
        <w:t xml:space="preserve">, що </w:t>
      </w:r>
      <w:r w:rsidR="006B2CB6" w:rsidRPr="00856AE6">
        <w:rPr>
          <w:rStyle w:val="st46"/>
          <w:i w:val="0"/>
          <w:sz w:val="28"/>
          <w:szCs w:val="28"/>
        </w:rPr>
        <w:t>пов’язано</w:t>
      </w:r>
      <w:r w:rsidR="009D3B16" w:rsidRPr="00856AE6">
        <w:rPr>
          <w:rStyle w:val="st46"/>
          <w:i w:val="0"/>
          <w:sz w:val="28"/>
          <w:szCs w:val="28"/>
        </w:rPr>
        <w:t xml:space="preserve"> з особливостями діяльності цих фінансових установ.</w:t>
      </w:r>
    </w:p>
    <w:p w:rsidR="00BB23A6" w:rsidRPr="00856AE6" w:rsidRDefault="009D3B16" w:rsidP="00064610">
      <w:pPr>
        <w:pStyle w:val="Igor"/>
        <w:spacing w:before="0" w:after="0"/>
        <w:rPr>
          <w:rStyle w:val="st46"/>
          <w:i w:val="0"/>
          <w:sz w:val="28"/>
          <w:szCs w:val="28"/>
        </w:rPr>
      </w:pPr>
      <w:r w:rsidRPr="00856AE6">
        <w:rPr>
          <w:rStyle w:val="st46"/>
          <w:i w:val="0"/>
          <w:sz w:val="28"/>
          <w:szCs w:val="28"/>
        </w:rPr>
        <w:t xml:space="preserve">15. </w:t>
      </w:r>
      <w:r w:rsidR="00BB23A6" w:rsidRPr="00856AE6">
        <w:rPr>
          <w:rStyle w:val="st46"/>
          <w:i w:val="0"/>
          <w:sz w:val="28"/>
          <w:szCs w:val="28"/>
        </w:rPr>
        <w:t>У статті 35 проекту пропонується встановити перелік інформації, що становить професійну таємницю на фондовому ринку, а також заборон</w:t>
      </w:r>
      <w:r w:rsidR="00DA6D06">
        <w:rPr>
          <w:rStyle w:val="st46"/>
          <w:i w:val="0"/>
          <w:sz w:val="28"/>
          <w:szCs w:val="28"/>
          <w:lang w:val="ru-RU"/>
        </w:rPr>
        <w:t>у</w:t>
      </w:r>
      <w:r w:rsidR="00BB23A6" w:rsidRPr="00856AE6">
        <w:rPr>
          <w:rStyle w:val="st46"/>
          <w:i w:val="0"/>
          <w:sz w:val="28"/>
          <w:szCs w:val="28"/>
        </w:rPr>
        <w:t xml:space="preserve"> розголошення такої інформації головою, членам та працівниками НКЦПФР (у</w:t>
      </w:r>
      <w:r w:rsidR="00536854">
        <w:rPr>
          <w:rStyle w:val="st46"/>
          <w:i w:val="0"/>
          <w:sz w:val="28"/>
          <w:szCs w:val="28"/>
        </w:rPr>
        <w:t xml:space="preserve"> </w:t>
      </w:r>
      <w:r w:rsidR="00BB23A6" w:rsidRPr="00856AE6">
        <w:rPr>
          <w:rStyle w:val="st46"/>
          <w:i w:val="0"/>
          <w:sz w:val="28"/>
          <w:szCs w:val="28"/>
        </w:rPr>
        <w:t>тому числі</w:t>
      </w:r>
      <w:r w:rsidR="00536854">
        <w:rPr>
          <w:rStyle w:val="st46"/>
          <w:i w:val="0"/>
          <w:sz w:val="28"/>
          <w:szCs w:val="28"/>
        </w:rPr>
        <w:t>,</w:t>
      </w:r>
      <w:r w:rsidR="00BB23A6" w:rsidRPr="00856AE6">
        <w:rPr>
          <w:rStyle w:val="st46"/>
          <w:i w:val="0"/>
          <w:sz w:val="28"/>
          <w:szCs w:val="28"/>
        </w:rPr>
        <w:t xml:space="preserve"> колишніми). Вважаємо, що положення цієї статті не є предметом  проекту, а тому пропонуємо в</w:t>
      </w:r>
      <w:r w:rsidR="001A01AE">
        <w:rPr>
          <w:rStyle w:val="st46"/>
          <w:i w:val="0"/>
          <w:sz w:val="28"/>
          <w:szCs w:val="28"/>
        </w:rPr>
        <w:t xml:space="preserve">иключити її з проекту. </w:t>
      </w:r>
    </w:p>
    <w:p w:rsidR="00FC397E" w:rsidRPr="00856AE6" w:rsidRDefault="00BB23A6" w:rsidP="00064610">
      <w:pPr>
        <w:pStyle w:val="Igor"/>
        <w:spacing w:before="0" w:after="0"/>
        <w:rPr>
          <w:rStyle w:val="st46"/>
          <w:i w:val="0"/>
          <w:sz w:val="28"/>
          <w:szCs w:val="28"/>
        </w:rPr>
      </w:pPr>
      <w:r w:rsidRPr="00856AE6">
        <w:rPr>
          <w:rStyle w:val="st46"/>
          <w:i w:val="0"/>
          <w:sz w:val="28"/>
          <w:szCs w:val="28"/>
        </w:rPr>
        <w:t xml:space="preserve">16. </w:t>
      </w:r>
      <w:r w:rsidR="001A01AE">
        <w:rPr>
          <w:rStyle w:val="st46"/>
          <w:i w:val="0"/>
          <w:sz w:val="28"/>
          <w:szCs w:val="28"/>
        </w:rPr>
        <w:t>У</w:t>
      </w:r>
      <w:r w:rsidR="00281F1D" w:rsidRPr="00856AE6">
        <w:rPr>
          <w:rStyle w:val="st46"/>
          <w:i w:val="0"/>
          <w:sz w:val="28"/>
          <w:szCs w:val="28"/>
        </w:rPr>
        <w:t xml:space="preserve"> статті 37 проекту пропонується встановити 75 випадків застосування фінансових санкцій у вигляді штрафу</w:t>
      </w:r>
      <w:r w:rsidR="001A01AE">
        <w:rPr>
          <w:rStyle w:val="st46"/>
          <w:i w:val="0"/>
          <w:sz w:val="28"/>
          <w:szCs w:val="28"/>
        </w:rPr>
        <w:t>, що, на нашу думку, ускладнить їх застосування</w:t>
      </w:r>
      <w:r w:rsidR="00281F1D" w:rsidRPr="00856AE6">
        <w:rPr>
          <w:rStyle w:val="st46"/>
          <w:i w:val="0"/>
          <w:sz w:val="28"/>
          <w:szCs w:val="28"/>
        </w:rPr>
        <w:t xml:space="preserve">. </w:t>
      </w:r>
      <w:r w:rsidR="001A01AE">
        <w:rPr>
          <w:rStyle w:val="st46"/>
          <w:i w:val="0"/>
          <w:sz w:val="28"/>
          <w:szCs w:val="28"/>
        </w:rPr>
        <w:t xml:space="preserve">Крім цього, </w:t>
      </w:r>
      <w:r w:rsidR="00BB12E6" w:rsidRPr="00856AE6">
        <w:rPr>
          <w:rStyle w:val="st46"/>
          <w:i w:val="0"/>
          <w:sz w:val="28"/>
          <w:szCs w:val="28"/>
        </w:rPr>
        <w:t>суттєв</w:t>
      </w:r>
      <w:r w:rsidR="00536854">
        <w:rPr>
          <w:rStyle w:val="st46"/>
          <w:i w:val="0"/>
          <w:sz w:val="28"/>
          <w:szCs w:val="28"/>
        </w:rPr>
        <w:t>а</w:t>
      </w:r>
      <w:r w:rsidR="00BB12E6" w:rsidRPr="00856AE6">
        <w:rPr>
          <w:rStyle w:val="st46"/>
          <w:i w:val="0"/>
          <w:sz w:val="28"/>
          <w:szCs w:val="28"/>
        </w:rPr>
        <w:t xml:space="preserve"> різниц</w:t>
      </w:r>
      <w:r w:rsidR="00536854">
        <w:rPr>
          <w:rStyle w:val="st46"/>
          <w:i w:val="0"/>
          <w:sz w:val="28"/>
          <w:szCs w:val="28"/>
        </w:rPr>
        <w:t>я</w:t>
      </w:r>
      <w:r w:rsidR="00BB12E6" w:rsidRPr="00856AE6">
        <w:rPr>
          <w:rStyle w:val="st46"/>
          <w:i w:val="0"/>
          <w:sz w:val="28"/>
          <w:szCs w:val="28"/>
        </w:rPr>
        <w:t xml:space="preserve"> між мінімальним</w:t>
      </w:r>
      <w:r w:rsidR="001A01AE">
        <w:rPr>
          <w:rStyle w:val="st46"/>
          <w:i w:val="0"/>
          <w:sz w:val="28"/>
          <w:szCs w:val="28"/>
        </w:rPr>
        <w:t>и</w:t>
      </w:r>
      <w:r w:rsidR="00BB12E6" w:rsidRPr="00856AE6">
        <w:rPr>
          <w:rStyle w:val="st46"/>
          <w:i w:val="0"/>
          <w:sz w:val="28"/>
          <w:szCs w:val="28"/>
        </w:rPr>
        <w:t xml:space="preserve"> та максимальним</w:t>
      </w:r>
      <w:r w:rsidR="001A01AE">
        <w:rPr>
          <w:rStyle w:val="st46"/>
          <w:i w:val="0"/>
          <w:sz w:val="28"/>
          <w:szCs w:val="28"/>
        </w:rPr>
        <w:t>и</w:t>
      </w:r>
      <w:r w:rsidR="00BB12E6" w:rsidRPr="00856AE6">
        <w:rPr>
          <w:rStyle w:val="st46"/>
          <w:i w:val="0"/>
          <w:sz w:val="28"/>
          <w:szCs w:val="28"/>
        </w:rPr>
        <w:t xml:space="preserve">  розмір</w:t>
      </w:r>
      <w:r w:rsidR="001A01AE">
        <w:rPr>
          <w:rStyle w:val="st46"/>
          <w:i w:val="0"/>
          <w:sz w:val="28"/>
          <w:szCs w:val="28"/>
        </w:rPr>
        <w:t>а</w:t>
      </w:r>
      <w:r w:rsidR="00BB12E6" w:rsidRPr="00856AE6">
        <w:rPr>
          <w:rStyle w:val="st46"/>
          <w:i w:val="0"/>
          <w:sz w:val="28"/>
          <w:szCs w:val="28"/>
        </w:rPr>
        <w:t>м</w:t>
      </w:r>
      <w:r w:rsidR="001A01AE">
        <w:rPr>
          <w:rStyle w:val="st46"/>
          <w:i w:val="0"/>
          <w:sz w:val="28"/>
          <w:szCs w:val="28"/>
        </w:rPr>
        <w:t>и</w:t>
      </w:r>
      <w:r w:rsidR="00BB12E6" w:rsidRPr="00856AE6">
        <w:rPr>
          <w:rStyle w:val="st46"/>
          <w:i w:val="0"/>
          <w:sz w:val="28"/>
          <w:szCs w:val="28"/>
        </w:rPr>
        <w:t xml:space="preserve"> штраф</w:t>
      </w:r>
      <w:r w:rsidR="001A01AE">
        <w:rPr>
          <w:rStyle w:val="st46"/>
          <w:i w:val="0"/>
          <w:sz w:val="28"/>
          <w:szCs w:val="28"/>
        </w:rPr>
        <w:t>ів</w:t>
      </w:r>
      <w:r w:rsidR="00BB12E6" w:rsidRPr="00856AE6">
        <w:rPr>
          <w:rStyle w:val="st46"/>
          <w:i w:val="0"/>
          <w:sz w:val="28"/>
          <w:szCs w:val="28"/>
        </w:rPr>
        <w:t xml:space="preserve">, яка в певних випадках перевищує трикратний </w:t>
      </w:r>
      <w:r w:rsidR="000F0237" w:rsidRPr="00856AE6">
        <w:rPr>
          <w:rStyle w:val="st46"/>
          <w:i w:val="0"/>
          <w:sz w:val="28"/>
          <w:szCs w:val="28"/>
        </w:rPr>
        <w:t xml:space="preserve">і навіть п’ятикратний розмір, може призвести до певних зловживань підчас їх накладення. </w:t>
      </w:r>
      <w:r w:rsidR="001A01AE">
        <w:rPr>
          <w:rStyle w:val="st46"/>
          <w:i w:val="0"/>
          <w:sz w:val="28"/>
          <w:szCs w:val="28"/>
        </w:rPr>
        <w:t>При цьому</w:t>
      </w:r>
      <w:r w:rsidR="000F0237" w:rsidRPr="00856AE6">
        <w:rPr>
          <w:rStyle w:val="st46"/>
          <w:i w:val="0"/>
          <w:sz w:val="28"/>
          <w:szCs w:val="28"/>
        </w:rPr>
        <w:t xml:space="preserve"> запровадження найбільшого штрафу</w:t>
      </w:r>
      <w:r w:rsidR="00AB26CB" w:rsidRPr="00856AE6">
        <w:rPr>
          <w:rStyle w:val="st46"/>
          <w:i w:val="0"/>
          <w:sz w:val="28"/>
          <w:szCs w:val="28"/>
        </w:rPr>
        <w:t xml:space="preserve">, </w:t>
      </w:r>
      <w:r w:rsidR="000F0237" w:rsidRPr="00856AE6">
        <w:rPr>
          <w:rStyle w:val="st46"/>
          <w:i w:val="0"/>
          <w:sz w:val="28"/>
          <w:szCs w:val="28"/>
        </w:rPr>
        <w:t>у розмірі 750 ти</w:t>
      </w:r>
      <w:r w:rsidR="00AB26CB" w:rsidRPr="00856AE6">
        <w:rPr>
          <w:rStyle w:val="st46"/>
          <w:i w:val="0"/>
          <w:sz w:val="28"/>
          <w:szCs w:val="28"/>
        </w:rPr>
        <w:t xml:space="preserve">с. </w:t>
      </w:r>
      <w:r w:rsidR="00CF2608" w:rsidRPr="00856AE6">
        <w:rPr>
          <w:rStyle w:val="st46"/>
          <w:i w:val="0"/>
          <w:sz w:val="28"/>
          <w:szCs w:val="28"/>
        </w:rPr>
        <w:t>євро</w:t>
      </w:r>
      <w:r w:rsidR="00AB26CB" w:rsidRPr="00856AE6">
        <w:rPr>
          <w:rStyle w:val="st46"/>
          <w:i w:val="0"/>
          <w:sz w:val="28"/>
          <w:szCs w:val="28"/>
        </w:rPr>
        <w:t xml:space="preserve"> гривневого еквіваленту, повинно відповідати вимогам щодо розміру статутного капіталу АРА. </w:t>
      </w:r>
      <w:r w:rsidR="00FC397E" w:rsidRPr="00856AE6">
        <w:rPr>
          <w:rStyle w:val="st46"/>
          <w:i w:val="0"/>
          <w:sz w:val="28"/>
          <w:szCs w:val="28"/>
        </w:rPr>
        <w:t xml:space="preserve">Враховуючи те, що у статті 38 проекту пропонується запровадити обтяжуючі та пом’якшуючі штрафні коефіцієнти, вважаємо, що розмір штрафів </w:t>
      </w:r>
      <w:r w:rsidR="00033080" w:rsidRPr="00856AE6">
        <w:rPr>
          <w:rStyle w:val="st46"/>
          <w:i w:val="0"/>
          <w:sz w:val="28"/>
          <w:szCs w:val="28"/>
        </w:rPr>
        <w:t>передбачений</w:t>
      </w:r>
      <w:r w:rsidR="00FC397E" w:rsidRPr="00856AE6">
        <w:rPr>
          <w:rStyle w:val="st46"/>
          <w:i w:val="0"/>
          <w:sz w:val="28"/>
          <w:szCs w:val="28"/>
        </w:rPr>
        <w:t xml:space="preserve"> у частині 1 статті 38 проекту повинен бути фіксованим.  </w:t>
      </w:r>
    </w:p>
    <w:p w:rsidR="00CF2608" w:rsidRDefault="002F49BC" w:rsidP="00CF2608">
      <w:pPr>
        <w:pStyle w:val="Igor"/>
        <w:spacing w:before="0" w:after="0"/>
      </w:pPr>
      <w:r w:rsidRPr="00856AE6">
        <w:t xml:space="preserve">17. У </w:t>
      </w:r>
      <w:r w:rsidR="00C46AE2">
        <w:t xml:space="preserve">статті 38 </w:t>
      </w:r>
      <w:r w:rsidR="001A01AE">
        <w:t xml:space="preserve">проекту </w:t>
      </w:r>
      <w:r w:rsidR="00C46AE2">
        <w:t xml:space="preserve">слід визначити, в чому полягає зміст періодичних штрафних санкцій. Крім цього, слід звернути увагу на те, що у пункті 1 частини 1 </w:t>
      </w:r>
      <w:r w:rsidR="001A01AE">
        <w:t xml:space="preserve">цієї </w:t>
      </w:r>
      <w:r w:rsidRPr="00856AE6">
        <w:t xml:space="preserve">статті пропонується </w:t>
      </w:r>
      <w:r w:rsidR="00C46AE2">
        <w:t xml:space="preserve">призначати такі </w:t>
      </w:r>
      <w:r w:rsidRPr="00856AE6">
        <w:t>штрафн</w:t>
      </w:r>
      <w:r w:rsidR="00536854">
        <w:t>і</w:t>
      </w:r>
      <w:r w:rsidRPr="00856AE6">
        <w:t xml:space="preserve"> санкції</w:t>
      </w:r>
      <w:r w:rsidR="00C46AE2">
        <w:t xml:space="preserve"> «з метою зобов’язання АРА усунути порушення відповідно до вимог пункту 4 частини 1 статті 40 цього Закону»</w:t>
      </w:r>
      <w:r w:rsidRPr="00856AE6">
        <w:t xml:space="preserve">. </w:t>
      </w:r>
      <w:r w:rsidR="00C46AE2">
        <w:t>Проте з</w:t>
      </w:r>
      <w:r w:rsidRPr="00856AE6">
        <w:t xml:space="preserve">вертаємо увагу на </w:t>
      </w:r>
      <w:r w:rsidR="00C46AE2">
        <w:t xml:space="preserve">те, що у частині 1 вказаної статті пункту 4 немає, а сама стаття згідно з її назвою регулює порядок </w:t>
      </w:r>
      <w:r w:rsidR="00CF2608">
        <w:t xml:space="preserve">опублікування НКЦПФР </w:t>
      </w:r>
      <w:r w:rsidR="00CF2608" w:rsidRPr="00263698">
        <w:t>інформації про порушення законодавства на ринку рейтингування</w:t>
      </w:r>
      <w:r w:rsidR="00CF2608">
        <w:t>.</w:t>
      </w:r>
    </w:p>
    <w:p w:rsidR="00690C5B" w:rsidRPr="00856AE6" w:rsidRDefault="00033080" w:rsidP="00064610">
      <w:pPr>
        <w:pStyle w:val="Igor"/>
        <w:spacing w:before="0" w:after="0"/>
      </w:pPr>
      <w:r w:rsidRPr="00856AE6">
        <w:t xml:space="preserve">18. У статті 42 проекту пропонується запровадити обов’язкові платежі (адміністративний платіж за внесення до Реєстру рейтингових агентств та платіж нагляду), які сплачуватимуться до спеціального фонду Державного бюджету України. </w:t>
      </w:r>
      <w:r w:rsidR="006B62AD" w:rsidRPr="00856AE6">
        <w:t xml:space="preserve">Зазначимо, що Податковий кодекс України не передбачає серед загальнодержавних податків та зборів </w:t>
      </w:r>
      <w:r w:rsidR="00EC406B">
        <w:t>адміністративні платежі та платежі нагляду.</w:t>
      </w:r>
      <w:r w:rsidR="006B62AD" w:rsidRPr="00856AE6">
        <w:t xml:space="preserve"> Водночас</w:t>
      </w:r>
      <w:r w:rsidR="00EC406B">
        <w:t>,</w:t>
      </w:r>
      <w:r w:rsidR="006B62AD" w:rsidRPr="00856AE6">
        <w:t xml:space="preserve"> відповідно до пункту 9.4 статті 9 цього Кодексу установлення загальнодержавних податків та зборів, не передбачених цим Кодексом, забороняється. Принагідно зауважимо на те, що пропозиція щодо запровадження фактично нового податку для фінансування </w:t>
      </w:r>
      <w:r w:rsidR="001A01AE">
        <w:t xml:space="preserve">конкретного </w:t>
      </w:r>
      <w:r w:rsidR="006B62AD" w:rsidRPr="00856AE6">
        <w:t xml:space="preserve"> державного органу виглядає сумнівною. </w:t>
      </w:r>
    </w:p>
    <w:p w:rsidR="00061FD8" w:rsidRPr="00CF2608" w:rsidRDefault="00217C77" w:rsidP="00064610">
      <w:pPr>
        <w:ind w:firstLine="709"/>
        <w:jc w:val="both"/>
        <w:rPr>
          <w:iCs/>
          <w:color w:val="000000"/>
          <w:szCs w:val="28"/>
        </w:rPr>
      </w:pPr>
      <w:r w:rsidRPr="00CF2608">
        <w:rPr>
          <w:iCs/>
          <w:color w:val="000000"/>
          <w:szCs w:val="28"/>
        </w:rPr>
        <w:t>19</w:t>
      </w:r>
      <w:r w:rsidR="00061FD8" w:rsidRPr="00856AE6">
        <w:rPr>
          <w:color w:val="000000"/>
          <w:spacing w:val="1"/>
          <w:w w:val="93"/>
          <w:szCs w:val="28"/>
        </w:rPr>
        <w:t xml:space="preserve">. </w:t>
      </w:r>
      <w:r w:rsidR="00061FD8" w:rsidRPr="00CF2608">
        <w:rPr>
          <w:iCs/>
          <w:color w:val="000000"/>
          <w:szCs w:val="28"/>
        </w:rPr>
        <w:t xml:space="preserve">У проекті шляхом внесення змін до законів України </w:t>
      </w:r>
      <w:r w:rsidRPr="00CF2608">
        <w:rPr>
          <w:iCs/>
          <w:color w:val="000000"/>
          <w:szCs w:val="28"/>
        </w:rPr>
        <w:t xml:space="preserve">«Про недержавні пенсійне забезпечення», «Про загальнообов’язкове пенсійне страхування», </w:t>
      </w:r>
      <w:r w:rsidR="00061FD8" w:rsidRPr="00CF2608">
        <w:rPr>
          <w:iCs/>
          <w:color w:val="000000"/>
          <w:szCs w:val="28"/>
        </w:rPr>
        <w:t>«Про і</w:t>
      </w:r>
      <w:r w:rsidRPr="00CF2608">
        <w:rPr>
          <w:iCs/>
          <w:color w:val="000000"/>
          <w:szCs w:val="28"/>
        </w:rPr>
        <w:t>нститути спільного інвестування</w:t>
      </w:r>
      <w:r w:rsidR="00061FD8" w:rsidRPr="00CF2608">
        <w:rPr>
          <w:iCs/>
          <w:color w:val="000000"/>
          <w:szCs w:val="28"/>
        </w:rPr>
        <w:t xml:space="preserve">», «Про страхування»,  пропонується скасувати </w:t>
      </w:r>
      <w:r w:rsidR="00FE3D3D" w:rsidRPr="00CF2608">
        <w:rPr>
          <w:iCs/>
          <w:color w:val="000000"/>
          <w:szCs w:val="28"/>
        </w:rPr>
        <w:t xml:space="preserve">законодавчо визначені </w:t>
      </w:r>
      <w:r w:rsidR="00061FD8" w:rsidRPr="00CF2608">
        <w:rPr>
          <w:iCs/>
          <w:color w:val="000000"/>
          <w:szCs w:val="28"/>
        </w:rPr>
        <w:t xml:space="preserve">вимоги </w:t>
      </w:r>
      <w:r w:rsidR="00FE3D3D" w:rsidRPr="00CF2608">
        <w:rPr>
          <w:iCs/>
          <w:color w:val="000000"/>
          <w:szCs w:val="28"/>
        </w:rPr>
        <w:t xml:space="preserve">до </w:t>
      </w:r>
      <w:r w:rsidR="00DA6D06" w:rsidRPr="00DA6D06">
        <w:rPr>
          <w:iCs/>
          <w:color w:val="000000"/>
          <w:szCs w:val="28"/>
        </w:rPr>
        <w:t xml:space="preserve"> </w:t>
      </w:r>
      <w:r w:rsidR="00061FD8" w:rsidRPr="00CF2608">
        <w:rPr>
          <w:iCs/>
          <w:color w:val="000000"/>
          <w:szCs w:val="28"/>
        </w:rPr>
        <w:t xml:space="preserve">інститутів спільного </w:t>
      </w:r>
      <w:r w:rsidR="00061FD8" w:rsidRPr="00CF2608">
        <w:rPr>
          <w:iCs/>
          <w:color w:val="000000"/>
          <w:szCs w:val="28"/>
        </w:rPr>
        <w:lastRenderedPageBreak/>
        <w:t xml:space="preserve">інвестування, страховиків та недержавних пенсійних фондів мати у власних активах цінні папери, які отримали </w:t>
      </w:r>
      <w:r w:rsidR="00FE3D3D" w:rsidRPr="00CF2608">
        <w:rPr>
          <w:iCs/>
          <w:color w:val="000000"/>
          <w:szCs w:val="28"/>
        </w:rPr>
        <w:t xml:space="preserve">відповідну </w:t>
      </w:r>
      <w:r w:rsidR="00061FD8" w:rsidRPr="00CF2608">
        <w:rPr>
          <w:iCs/>
          <w:color w:val="000000"/>
          <w:szCs w:val="28"/>
        </w:rPr>
        <w:t>рейтингову оцінку</w:t>
      </w:r>
      <w:r w:rsidR="00FE3D3D" w:rsidRPr="00CF2608">
        <w:rPr>
          <w:iCs/>
          <w:color w:val="000000"/>
          <w:szCs w:val="28"/>
        </w:rPr>
        <w:t xml:space="preserve"> або перебувають в обігу на відповідних міжнародних організованих фондових ринках та пройшли лістинг, надавши таке право</w:t>
      </w:r>
      <w:r w:rsidR="00CF2608">
        <w:rPr>
          <w:iCs/>
          <w:color w:val="000000"/>
          <w:szCs w:val="28"/>
        </w:rPr>
        <w:t xml:space="preserve"> НКЦПФР</w:t>
      </w:r>
      <w:r w:rsidR="00061FD8" w:rsidRPr="00CF2608">
        <w:rPr>
          <w:iCs/>
          <w:color w:val="000000"/>
          <w:szCs w:val="28"/>
        </w:rPr>
        <w:t xml:space="preserve">. Проте, на нашу думку, вказані вимоги з метою </w:t>
      </w:r>
      <w:r w:rsidR="00CF2608">
        <w:rPr>
          <w:iCs/>
          <w:color w:val="000000"/>
          <w:szCs w:val="28"/>
        </w:rPr>
        <w:t xml:space="preserve">забезпечення надійного </w:t>
      </w:r>
      <w:r w:rsidR="00061FD8" w:rsidRPr="00CF2608">
        <w:rPr>
          <w:iCs/>
          <w:color w:val="000000"/>
          <w:szCs w:val="28"/>
        </w:rPr>
        <w:t>зберігання активів цих учасників ринку цінних паперів бажано залишити в силі</w:t>
      </w:r>
      <w:r w:rsidR="00CF2608">
        <w:rPr>
          <w:iCs/>
          <w:color w:val="000000"/>
          <w:szCs w:val="28"/>
        </w:rPr>
        <w:t>, надавши НКЦПФР право корегувати їх у періоди фінансов</w:t>
      </w:r>
      <w:r w:rsidR="00DA6D06" w:rsidRPr="00DA6D06">
        <w:rPr>
          <w:iCs/>
          <w:color w:val="000000"/>
          <w:szCs w:val="28"/>
        </w:rPr>
        <w:t>их</w:t>
      </w:r>
      <w:r w:rsidR="00CF2608">
        <w:rPr>
          <w:iCs/>
          <w:color w:val="000000"/>
          <w:szCs w:val="28"/>
        </w:rPr>
        <w:t xml:space="preserve"> криз</w:t>
      </w:r>
      <w:r w:rsidR="00061FD8" w:rsidRPr="00CF2608">
        <w:rPr>
          <w:iCs/>
          <w:color w:val="000000"/>
          <w:szCs w:val="28"/>
        </w:rPr>
        <w:t xml:space="preserve">. </w:t>
      </w:r>
    </w:p>
    <w:p w:rsidR="00E23358" w:rsidRDefault="00490FAB" w:rsidP="00064610">
      <w:pPr>
        <w:pStyle w:val="Igor"/>
        <w:spacing w:before="0" w:after="0"/>
      </w:pPr>
      <w:r w:rsidRPr="00856AE6">
        <w:rPr>
          <w:u w:val="single"/>
        </w:rPr>
        <w:t>Узагальнюючий висновок:</w:t>
      </w:r>
      <w:r w:rsidRPr="00856AE6">
        <w:t xml:space="preserve"> за результатами розгляду в </w:t>
      </w:r>
      <w:r w:rsidR="00810954" w:rsidRPr="00856AE6">
        <w:t>п</w:t>
      </w:r>
      <w:r w:rsidRPr="00856AE6">
        <w:t>ерш</w:t>
      </w:r>
      <w:r w:rsidR="00810954" w:rsidRPr="00856AE6">
        <w:t>о</w:t>
      </w:r>
      <w:r w:rsidRPr="00856AE6">
        <w:t xml:space="preserve">му читанні проект Закону України </w:t>
      </w:r>
      <w:r w:rsidR="006A1912" w:rsidRPr="00856AE6">
        <w:rPr>
          <w:rStyle w:val="a4"/>
          <w:b w:val="0"/>
          <w:i/>
          <w:sz w:val="28"/>
        </w:rPr>
        <w:t>«</w:t>
      </w:r>
      <w:r w:rsidR="006A1912" w:rsidRPr="00856AE6">
        <w:t xml:space="preserve">Про </w:t>
      </w:r>
      <w:r w:rsidR="00856AE6" w:rsidRPr="00856AE6">
        <w:t>рейтингування</w:t>
      </w:r>
      <w:r w:rsidR="006A1912" w:rsidRPr="00856AE6">
        <w:t>»</w:t>
      </w:r>
      <w:r w:rsidRPr="00856AE6">
        <w:t xml:space="preserve"> </w:t>
      </w:r>
      <w:r w:rsidR="00856AE6" w:rsidRPr="00856AE6">
        <w:t xml:space="preserve">доцільно </w:t>
      </w:r>
      <w:r w:rsidR="00CF2608">
        <w:t>по</w:t>
      </w:r>
      <w:r w:rsidR="00856AE6" w:rsidRPr="00856AE6">
        <w:t>в</w:t>
      </w:r>
      <w:r w:rsidR="00CF2608">
        <w:t>ернути на доопрацювання з урахуванням висловлених зауважень та пропозицій</w:t>
      </w:r>
      <w:r w:rsidRPr="00856AE6">
        <w:t>.</w:t>
      </w:r>
    </w:p>
    <w:p w:rsidR="00594CB1" w:rsidRDefault="00594CB1" w:rsidP="00064610">
      <w:pPr>
        <w:pStyle w:val="Igor"/>
        <w:spacing w:before="0" w:after="0"/>
      </w:pPr>
    </w:p>
    <w:p w:rsidR="00CF2608" w:rsidRDefault="00CF2608" w:rsidP="00064610">
      <w:pPr>
        <w:pStyle w:val="Igor"/>
        <w:spacing w:before="0" w:after="0"/>
      </w:pPr>
    </w:p>
    <w:p w:rsidR="00CF2608" w:rsidRDefault="00CF2608" w:rsidP="00064610">
      <w:pPr>
        <w:tabs>
          <w:tab w:val="left" w:pos="3261"/>
        </w:tabs>
        <w:ind w:firstLine="709"/>
        <w:jc w:val="both"/>
        <w:outlineLvl w:val="0"/>
        <w:rPr>
          <w:szCs w:val="28"/>
        </w:rPr>
      </w:pPr>
      <w:r>
        <w:rPr>
          <w:szCs w:val="28"/>
        </w:rPr>
        <w:t xml:space="preserve"> З</w:t>
      </w:r>
      <w:r w:rsidR="00594CB1" w:rsidRPr="00594CB1">
        <w:rPr>
          <w:szCs w:val="28"/>
        </w:rPr>
        <w:t xml:space="preserve">аступник </w:t>
      </w:r>
      <w:r>
        <w:rPr>
          <w:szCs w:val="28"/>
        </w:rPr>
        <w:t>к</w:t>
      </w:r>
      <w:r w:rsidR="00594CB1" w:rsidRPr="00594CB1">
        <w:rPr>
          <w:szCs w:val="28"/>
        </w:rPr>
        <w:t xml:space="preserve">ерівника </w:t>
      </w:r>
    </w:p>
    <w:p w:rsidR="00594CB1" w:rsidRPr="00594CB1" w:rsidRDefault="00594CB1" w:rsidP="00064610">
      <w:pPr>
        <w:tabs>
          <w:tab w:val="left" w:pos="3261"/>
        </w:tabs>
        <w:ind w:firstLine="709"/>
        <w:jc w:val="both"/>
        <w:outlineLvl w:val="0"/>
        <w:rPr>
          <w:szCs w:val="28"/>
        </w:rPr>
      </w:pPr>
      <w:r w:rsidRPr="00594CB1">
        <w:rPr>
          <w:szCs w:val="28"/>
        </w:rPr>
        <w:t xml:space="preserve">Головного управління                                   </w:t>
      </w:r>
      <w:r w:rsidR="00CF2608">
        <w:rPr>
          <w:szCs w:val="28"/>
        </w:rPr>
        <w:t xml:space="preserve">                               </w:t>
      </w:r>
      <w:r w:rsidRPr="00594CB1">
        <w:rPr>
          <w:szCs w:val="28"/>
        </w:rPr>
        <w:t xml:space="preserve">     </w:t>
      </w:r>
      <w:r w:rsidR="00CF2608">
        <w:rPr>
          <w:szCs w:val="28"/>
        </w:rPr>
        <w:t>І</w:t>
      </w:r>
      <w:r w:rsidRPr="00594CB1">
        <w:rPr>
          <w:szCs w:val="28"/>
        </w:rPr>
        <w:t>.</w:t>
      </w:r>
      <w:r w:rsidR="00CF2608">
        <w:rPr>
          <w:szCs w:val="28"/>
        </w:rPr>
        <w:t>В</w:t>
      </w:r>
      <w:r w:rsidRPr="00594CB1">
        <w:rPr>
          <w:szCs w:val="28"/>
        </w:rPr>
        <w:t xml:space="preserve">. </w:t>
      </w:r>
      <w:r w:rsidR="00CF2608">
        <w:rPr>
          <w:szCs w:val="28"/>
        </w:rPr>
        <w:t>З</w:t>
      </w:r>
      <w:r w:rsidRPr="00594CB1">
        <w:rPr>
          <w:szCs w:val="28"/>
        </w:rPr>
        <w:t>у</w:t>
      </w:r>
      <w:r w:rsidR="00CF2608">
        <w:rPr>
          <w:szCs w:val="28"/>
        </w:rPr>
        <w:t>б</w:t>
      </w:r>
      <w:r w:rsidRPr="00594CB1">
        <w:rPr>
          <w:szCs w:val="28"/>
        </w:rPr>
        <w:t xml:space="preserve"> </w:t>
      </w:r>
    </w:p>
    <w:p w:rsidR="00594CB1" w:rsidRPr="00594CB1" w:rsidRDefault="00594CB1" w:rsidP="00064610">
      <w:pPr>
        <w:tabs>
          <w:tab w:val="left" w:pos="3261"/>
        </w:tabs>
        <w:ind w:firstLine="709"/>
        <w:jc w:val="both"/>
        <w:outlineLvl w:val="0"/>
        <w:rPr>
          <w:szCs w:val="28"/>
        </w:rPr>
      </w:pPr>
    </w:p>
    <w:p w:rsidR="00CF2608" w:rsidRDefault="00CF2608" w:rsidP="00064610">
      <w:pPr>
        <w:pStyle w:val="Igor"/>
        <w:spacing w:before="0" w:after="0"/>
        <w:rPr>
          <w:iCs w:val="0"/>
          <w:color w:val="auto"/>
          <w:sz w:val="20"/>
          <w:szCs w:val="20"/>
        </w:rPr>
      </w:pPr>
    </w:p>
    <w:p w:rsidR="00594CB1" w:rsidRPr="00856AE6" w:rsidRDefault="00594CB1" w:rsidP="00064610">
      <w:pPr>
        <w:pStyle w:val="Igor"/>
        <w:spacing w:before="0" w:after="0"/>
      </w:pPr>
      <w:r w:rsidRPr="00594CB1">
        <w:rPr>
          <w:iCs w:val="0"/>
          <w:color w:val="auto"/>
          <w:sz w:val="20"/>
          <w:szCs w:val="20"/>
        </w:rPr>
        <w:t>Вик.: Е.В. Вальковський</w:t>
      </w:r>
    </w:p>
    <w:sectPr w:rsidR="00594CB1" w:rsidRPr="00856AE6" w:rsidSect="002A7814">
      <w:headerReference w:type="even" r:id="rId8"/>
      <w:headerReference w:type="default" r:id="rId9"/>
      <w:footerReference w:type="even" r:id="rId10"/>
      <w:footerReference w:type="default" r:id="rId11"/>
      <w:headerReference w:type="first" r:id="rId12"/>
      <w:pgSz w:w="11906" w:h="16838"/>
      <w:pgMar w:top="1258" w:right="851" w:bottom="1560" w:left="1701" w:header="360" w:footer="101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5AB" w:rsidRDefault="00C025AB">
      <w:r>
        <w:separator/>
      </w:r>
    </w:p>
  </w:endnote>
  <w:endnote w:type="continuationSeparator" w:id="0">
    <w:p w:rsidR="00C025AB" w:rsidRDefault="00C02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555" w:rsidRDefault="00D87555" w:rsidP="009B7C52">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3</w:t>
    </w:r>
    <w:r>
      <w:rPr>
        <w:rStyle w:val="a9"/>
      </w:rPr>
      <w:fldChar w:fldCharType="end"/>
    </w:r>
  </w:p>
  <w:p w:rsidR="00D87555" w:rsidRDefault="00D87555" w:rsidP="00E752D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324951"/>
      <w:docPartObj>
        <w:docPartGallery w:val="Page Numbers (Bottom of Page)"/>
        <w:docPartUnique/>
      </w:docPartObj>
    </w:sdtPr>
    <w:sdtEndPr/>
    <w:sdtContent>
      <w:p w:rsidR="00C21DB9" w:rsidRDefault="00C21DB9">
        <w:pPr>
          <w:pStyle w:val="a6"/>
          <w:jc w:val="center"/>
        </w:pPr>
        <w:r>
          <w:fldChar w:fldCharType="begin"/>
        </w:r>
        <w:r>
          <w:instrText>PAGE   \* MERGEFORMAT</w:instrText>
        </w:r>
        <w:r>
          <w:fldChar w:fldCharType="separate"/>
        </w:r>
        <w:r w:rsidR="00C05EF8">
          <w:rPr>
            <w:noProof/>
          </w:rPr>
          <w:t>6</w:t>
        </w:r>
        <w:r>
          <w:fldChar w:fldCharType="end"/>
        </w:r>
      </w:p>
    </w:sdtContent>
  </w:sdt>
  <w:p w:rsidR="00D87555" w:rsidRDefault="00D87555" w:rsidP="00764601">
    <w:pPr>
      <w:pStyle w:val="a6"/>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5AB" w:rsidRDefault="00C025AB">
      <w:r>
        <w:separator/>
      </w:r>
    </w:p>
  </w:footnote>
  <w:footnote w:type="continuationSeparator" w:id="0">
    <w:p w:rsidR="00C025AB" w:rsidRDefault="00C02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555" w:rsidRDefault="00D87555" w:rsidP="00764601">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3</w:t>
    </w:r>
    <w:r>
      <w:rPr>
        <w:rStyle w:val="a9"/>
      </w:rPr>
      <w:fldChar w:fldCharType="end"/>
    </w:r>
  </w:p>
  <w:p w:rsidR="00D87555" w:rsidRDefault="00D8755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026" w:rsidRPr="009302FB" w:rsidRDefault="00464026" w:rsidP="00464026">
    <w:pPr>
      <w:jc w:val="right"/>
      <w:rPr>
        <w:sz w:val="24"/>
        <w:szCs w:val="24"/>
      </w:rPr>
    </w:pPr>
    <w:r w:rsidRPr="009302FB">
      <w:rPr>
        <w:sz w:val="24"/>
        <w:szCs w:val="24"/>
      </w:rPr>
      <w:t>До</w:t>
    </w:r>
    <w:r w:rsidRPr="008860CB">
      <w:rPr>
        <w:sz w:val="24"/>
        <w:szCs w:val="24"/>
        <w:lang w:val="ru-RU"/>
      </w:rPr>
      <w:t xml:space="preserve"> </w:t>
    </w:r>
    <w:r>
      <w:rPr>
        <w:sz w:val="24"/>
        <w:szCs w:val="24"/>
      </w:rPr>
      <w:t>проекту</w:t>
    </w:r>
    <w:r w:rsidRPr="009302FB">
      <w:rPr>
        <w:sz w:val="24"/>
        <w:szCs w:val="24"/>
      </w:rPr>
      <w:t xml:space="preserve"> № </w:t>
    </w:r>
    <w:r w:rsidRPr="008A1432">
      <w:rPr>
        <w:sz w:val="24"/>
        <w:szCs w:val="24"/>
        <w:lang w:val="ru-RU"/>
      </w:rPr>
      <w:t>8</w:t>
    </w:r>
    <w:r w:rsidRPr="00513D78">
      <w:rPr>
        <w:sz w:val="24"/>
        <w:szCs w:val="24"/>
        <w:lang w:val="ru-RU"/>
      </w:rPr>
      <w:t>00</w:t>
    </w:r>
    <w:r w:rsidRPr="008A1432">
      <w:rPr>
        <w:sz w:val="24"/>
        <w:szCs w:val="24"/>
        <w:lang w:val="ru-RU"/>
      </w:rPr>
      <w:t>7</w:t>
    </w:r>
    <w:r w:rsidRPr="009302FB">
      <w:rPr>
        <w:sz w:val="24"/>
        <w:szCs w:val="24"/>
      </w:rPr>
      <w:t xml:space="preserve"> від </w:t>
    </w:r>
    <w:r>
      <w:rPr>
        <w:sz w:val="24"/>
        <w:szCs w:val="24"/>
      </w:rPr>
      <w:t>06</w:t>
    </w:r>
    <w:r w:rsidRPr="009302FB">
      <w:rPr>
        <w:sz w:val="24"/>
        <w:szCs w:val="24"/>
      </w:rPr>
      <w:t>.</w:t>
    </w:r>
    <w:r>
      <w:rPr>
        <w:sz w:val="24"/>
        <w:szCs w:val="24"/>
      </w:rPr>
      <w:t>02</w:t>
    </w:r>
    <w:r w:rsidRPr="009302FB">
      <w:rPr>
        <w:sz w:val="24"/>
        <w:szCs w:val="24"/>
      </w:rPr>
      <w:t>.20</w:t>
    </w:r>
    <w:r w:rsidRPr="00D91C40">
      <w:rPr>
        <w:sz w:val="24"/>
        <w:szCs w:val="24"/>
        <w:lang w:val="ru-RU"/>
      </w:rPr>
      <w:t>1</w:t>
    </w:r>
    <w:r>
      <w:rPr>
        <w:sz w:val="24"/>
        <w:szCs w:val="24"/>
        <w:lang w:val="ru-RU"/>
      </w:rPr>
      <w:t>8</w:t>
    </w:r>
    <w:r>
      <w:rPr>
        <w:sz w:val="24"/>
        <w:szCs w:val="24"/>
      </w:rPr>
      <w:t xml:space="preserve"> </w:t>
    </w:r>
    <w:r w:rsidRPr="009302FB">
      <w:rPr>
        <w:sz w:val="24"/>
        <w:szCs w:val="24"/>
      </w:rPr>
      <w:t>р.</w:t>
    </w:r>
  </w:p>
  <w:p w:rsidR="00464026" w:rsidRPr="00D91C40" w:rsidRDefault="00464026" w:rsidP="00464026">
    <w:pPr>
      <w:pStyle w:val="a5"/>
      <w:jc w:val="right"/>
      <w:rPr>
        <w:sz w:val="24"/>
        <w:szCs w:val="24"/>
      </w:rPr>
    </w:pPr>
    <w:r>
      <w:rPr>
        <w:sz w:val="24"/>
        <w:szCs w:val="24"/>
      </w:rPr>
      <w:t>П.О.</w:t>
    </w:r>
    <w:r w:rsidR="00CF2608">
      <w:rPr>
        <w:sz w:val="24"/>
        <w:szCs w:val="24"/>
      </w:rPr>
      <w:t xml:space="preserve"> </w:t>
    </w:r>
    <w:r>
      <w:rPr>
        <w:sz w:val="24"/>
        <w:szCs w:val="24"/>
      </w:rPr>
      <w:t>Різаненко та інші</w:t>
    </w:r>
  </w:p>
  <w:p w:rsidR="00D87555" w:rsidRPr="00464026" w:rsidRDefault="00D87555" w:rsidP="00464026">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555" w:rsidRPr="009302FB" w:rsidRDefault="00D87555">
    <w:pPr>
      <w:jc w:val="right"/>
      <w:rPr>
        <w:sz w:val="24"/>
        <w:szCs w:val="24"/>
      </w:rPr>
    </w:pPr>
    <w:r w:rsidRPr="009302FB">
      <w:rPr>
        <w:sz w:val="24"/>
        <w:szCs w:val="24"/>
      </w:rPr>
      <w:t>До</w:t>
    </w:r>
    <w:r w:rsidRPr="008860CB">
      <w:rPr>
        <w:sz w:val="24"/>
        <w:szCs w:val="24"/>
        <w:lang w:val="ru-RU"/>
      </w:rPr>
      <w:t xml:space="preserve"> </w:t>
    </w:r>
    <w:r>
      <w:rPr>
        <w:sz w:val="24"/>
        <w:szCs w:val="24"/>
      </w:rPr>
      <w:t>проекту</w:t>
    </w:r>
    <w:r w:rsidRPr="009302FB">
      <w:rPr>
        <w:sz w:val="24"/>
        <w:szCs w:val="24"/>
      </w:rPr>
      <w:t xml:space="preserve"> № </w:t>
    </w:r>
    <w:r w:rsidR="008A1432" w:rsidRPr="008A1432">
      <w:rPr>
        <w:sz w:val="24"/>
        <w:szCs w:val="24"/>
        <w:lang w:val="ru-RU"/>
      </w:rPr>
      <w:t>8</w:t>
    </w:r>
    <w:r w:rsidR="006C4136" w:rsidRPr="00513D78">
      <w:rPr>
        <w:sz w:val="24"/>
        <w:szCs w:val="24"/>
        <w:lang w:val="ru-RU"/>
      </w:rPr>
      <w:t>00</w:t>
    </w:r>
    <w:r w:rsidR="008A1432" w:rsidRPr="008A1432">
      <w:rPr>
        <w:sz w:val="24"/>
        <w:szCs w:val="24"/>
        <w:lang w:val="ru-RU"/>
      </w:rPr>
      <w:t>7</w:t>
    </w:r>
    <w:r w:rsidRPr="009302FB">
      <w:rPr>
        <w:sz w:val="24"/>
        <w:szCs w:val="24"/>
      </w:rPr>
      <w:t xml:space="preserve"> від </w:t>
    </w:r>
    <w:r w:rsidR="00513D78">
      <w:rPr>
        <w:sz w:val="24"/>
        <w:szCs w:val="24"/>
      </w:rPr>
      <w:t>06</w:t>
    </w:r>
    <w:r w:rsidRPr="009302FB">
      <w:rPr>
        <w:sz w:val="24"/>
        <w:szCs w:val="24"/>
      </w:rPr>
      <w:t>.</w:t>
    </w:r>
    <w:r>
      <w:rPr>
        <w:sz w:val="24"/>
        <w:szCs w:val="24"/>
      </w:rPr>
      <w:t>0</w:t>
    </w:r>
    <w:r w:rsidR="00513D78">
      <w:rPr>
        <w:sz w:val="24"/>
        <w:szCs w:val="24"/>
      </w:rPr>
      <w:t>2</w:t>
    </w:r>
    <w:r w:rsidRPr="009302FB">
      <w:rPr>
        <w:sz w:val="24"/>
        <w:szCs w:val="24"/>
      </w:rPr>
      <w:t>.20</w:t>
    </w:r>
    <w:r w:rsidRPr="00D91C40">
      <w:rPr>
        <w:sz w:val="24"/>
        <w:szCs w:val="24"/>
        <w:lang w:val="ru-RU"/>
      </w:rPr>
      <w:t>1</w:t>
    </w:r>
    <w:r w:rsidR="00513D78">
      <w:rPr>
        <w:sz w:val="24"/>
        <w:szCs w:val="24"/>
        <w:lang w:val="ru-RU"/>
      </w:rPr>
      <w:t>8</w:t>
    </w:r>
    <w:r>
      <w:rPr>
        <w:sz w:val="24"/>
        <w:szCs w:val="24"/>
      </w:rPr>
      <w:t xml:space="preserve"> </w:t>
    </w:r>
    <w:r w:rsidRPr="009302FB">
      <w:rPr>
        <w:sz w:val="24"/>
        <w:szCs w:val="24"/>
      </w:rPr>
      <w:t>р.</w:t>
    </w:r>
  </w:p>
  <w:p w:rsidR="00D87555" w:rsidRPr="00D91C40" w:rsidRDefault="00513D78">
    <w:pPr>
      <w:pStyle w:val="a5"/>
      <w:jc w:val="right"/>
      <w:rPr>
        <w:sz w:val="24"/>
        <w:szCs w:val="24"/>
      </w:rPr>
    </w:pPr>
    <w:r>
      <w:rPr>
        <w:sz w:val="24"/>
        <w:szCs w:val="24"/>
      </w:rPr>
      <w:t>П.О.</w:t>
    </w:r>
    <w:r w:rsidR="00117D3B">
      <w:rPr>
        <w:sz w:val="24"/>
        <w:szCs w:val="24"/>
      </w:rPr>
      <w:t xml:space="preserve"> </w:t>
    </w:r>
    <w:r>
      <w:rPr>
        <w:sz w:val="24"/>
        <w:szCs w:val="24"/>
      </w:rPr>
      <w:t>Різаненко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13174"/>
    <w:multiLevelType w:val="hybridMultilevel"/>
    <w:tmpl w:val="C58ACA18"/>
    <w:lvl w:ilvl="0" w:tplc="F59055D2">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8078B5"/>
    <w:multiLevelType w:val="hybridMultilevel"/>
    <w:tmpl w:val="1C9E1B12"/>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5370FE"/>
    <w:multiLevelType w:val="singleLevel"/>
    <w:tmpl w:val="A8E00CCC"/>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4AA7BE8"/>
    <w:multiLevelType w:val="hybridMultilevel"/>
    <w:tmpl w:val="827C788E"/>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007AF8"/>
    <w:multiLevelType w:val="hybridMultilevel"/>
    <w:tmpl w:val="BD503466"/>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7E2715"/>
    <w:multiLevelType w:val="hybridMultilevel"/>
    <w:tmpl w:val="2C204A3A"/>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815946"/>
    <w:multiLevelType w:val="hybridMultilevel"/>
    <w:tmpl w:val="419418E4"/>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326A94"/>
    <w:multiLevelType w:val="singleLevel"/>
    <w:tmpl w:val="0419000F"/>
    <w:lvl w:ilvl="0">
      <w:start w:val="1"/>
      <w:numFmt w:val="decimal"/>
      <w:lvlText w:val="%1."/>
      <w:lvlJc w:val="left"/>
      <w:pPr>
        <w:tabs>
          <w:tab w:val="num" w:pos="360"/>
        </w:tabs>
        <w:ind w:left="360" w:hanging="360"/>
      </w:pPr>
      <w:rPr>
        <w:rFonts w:hint="default"/>
      </w:rPr>
    </w:lvl>
  </w:abstractNum>
  <w:abstractNum w:abstractNumId="8" w15:restartNumberingAfterBreak="0">
    <w:nsid w:val="52FF3711"/>
    <w:multiLevelType w:val="hybridMultilevel"/>
    <w:tmpl w:val="450A0698"/>
    <w:lvl w:ilvl="0" w:tplc="F020C3C8">
      <w:start w:val="1"/>
      <w:numFmt w:val="bullet"/>
      <w:lvlText w:val="-"/>
      <w:lvlJc w:val="left"/>
      <w:pPr>
        <w:tabs>
          <w:tab w:val="num" w:pos="912"/>
        </w:tabs>
        <w:ind w:left="912" w:hanging="555"/>
      </w:pPr>
      <w:rPr>
        <w:rFonts w:ascii="Times New Roman" w:eastAsia="Times New Roman" w:hAnsi="Times New Roman" w:cs="Times New Roman" w:hint="default"/>
      </w:rPr>
    </w:lvl>
    <w:lvl w:ilvl="1" w:tplc="04190003" w:tentative="1">
      <w:start w:val="1"/>
      <w:numFmt w:val="bullet"/>
      <w:lvlText w:val="o"/>
      <w:lvlJc w:val="left"/>
      <w:pPr>
        <w:tabs>
          <w:tab w:val="num" w:pos="1437"/>
        </w:tabs>
        <w:ind w:left="1437" w:hanging="360"/>
      </w:pPr>
      <w:rPr>
        <w:rFonts w:ascii="Courier New" w:hAnsi="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569C75F1"/>
    <w:multiLevelType w:val="hybridMultilevel"/>
    <w:tmpl w:val="E75078D8"/>
    <w:lvl w:ilvl="0" w:tplc="A8E00CCC">
      <w:numFmt w:val="bullet"/>
      <w:lvlText w:val="-"/>
      <w:lvlJc w:val="left"/>
      <w:pPr>
        <w:tabs>
          <w:tab w:val="num" w:pos="360"/>
        </w:tabs>
        <w:ind w:left="36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5433E4"/>
    <w:multiLevelType w:val="hybridMultilevel"/>
    <w:tmpl w:val="E3688B8C"/>
    <w:lvl w:ilvl="0" w:tplc="F59055D2">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F050CC"/>
    <w:multiLevelType w:val="hybridMultilevel"/>
    <w:tmpl w:val="415CF1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6972111D"/>
    <w:multiLevelType w:val="hybridMultilevel"/>
    <w:tmpl w:val="8496063E"/>
    <w:lvl w:ilvl="0" w:tplc="F59055D2">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C47D65"/>
    <w:multiLevelType w:val="hybridMultilevel"/>
    <w:tmpl w:val="BDBEBC30"/>
    <w:lvl w:ilvl="0" w:tplc="8F869CF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202BAB"/>
    <w:multiLevelType w:val="hybridMultilevel"/>
    <w:tmpl w:val="DBDE8B6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EE33E4"/>
    <w:multiLevelType w:val="hybridMultilevel"/>
    <w:tmpl w:val="62BE86FE"/>
    <w:lvl w:ilvl="0" w:tplc="03BA6B92">
      <w:start w:val="2"/>
      <w:numFmt w:val="bullet"/>
      <w:lvlText w:val="-"/>
      <w:lvlJc w:val="left"/>
      <w:pPr>
        <w:tabs>
          <w:tab w:val="num" w:pos="720"/>
        </w:tabs>
        <w:ind w:left="720" w:hanging="360"/>
      </w:pPr>
      <w:rPr>
        <w:rFonts w:ascii="Arial" w:eastAsia="Times New Roman" w:hAnsi="Arial" w:cs="Aria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4"/>
  </w:num>
  <w:num w:numId="3">
    <w:abstractNumId w:val="7"/>
  </w:num>
  <w:num w:numId="4">
    <w:abstractNumId w:val="5"/>
  </w:num>
  <w:num w:numId="5">
    <w:abstractNumId w:val="1"/>
  </w:num>
  <w:num w:numId="6">
    <w:abstractNumId w:val="15"/>
  </w:num>
  <w:num w:numId="7">
    <w:abstractNumId w:val="13"/>
  </w:num>
  <w:num w:numId="8">
    <w:abstractNumId w:val="3"/>
  </w:num>
  <w:num w:numId="9">
    <w:abstractNumId w:val="4"/>
  </w:num>
  <w:num w:numId="10">
    <w:abstractNumId w:val="6"/>
  </w:num>
  <w:num w:numId="11">
    <w:abstractNumId w:val="12"/>
  </w:num>
  <w:num w:numId="12">
    <w:abstractNumId w:val="10"/>
  </w:num>
  <w:num w:numId="13">
    <w:abstractNumId w:val="8"/>
  </w:num>
  <w:num w:numId="14">
    <w:abstractNumId w:val="0"/>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18A"/>
    <w:rsid w:val="000023F4"/>
    <w:rsid w:val="00007EF0"/>
    <w:rsid w:val="00014AEF"/>
    <w:rsid w:val="0002039F"/>
    <w:rsid w:val="00020CD5"/>
    <w:rsid w:val="0002604B"/>
    <w:rsid w:val="00033080"/>
    <w:rsid w:val="0004000B"/>
    <w:rsid w:val="00042E46"/>
    <w:rsid w:val="00050439"/>
    <w:rsid w:val="00050BF3"/>
    <w:rsid w:val="00053082"/>
    <w:rsid w:val="000568AD"/>
    <w:rsid w:val="00061FD8"/>
    <w:rsid w:val="00064610"/>
    <w:rsid w:val="00065519"/>
    <w:rsid w:val="000933FD"/>
    <w:rsid w:val="00093FAC"/>
    <w:rsid w:val="000A3B94"/>
    <w:rsid w:val="000B56A2"/>
    <w:rsid w:val="000C0715"/>
    <w:rsid w:val="000D6757"/>
    <w:rsid w:val="000E1C98"/>
    <w:rsid w:val="000E3904"/>
    <w:rsid w:val="000F0237"/>
    <w:rsid w:val="000F3FFC"/>
    <w:rsid w:val="00103F71"/>
    <w:rsid w:val="001050C7"/>
    <w:rsid w:val="001067D5"/>
    <w:rsid w:val="00111F4D"/>
    <w:rsid w:val="00112CF1"/>
    <w:rsid w:val="0011737B"/>
    <w:rsid w:val="00117639"/>
    <w:rsid w:val="00117D3B"/>
    <w:rsid w:val="0012223E"/>
    <w:rsid w:val="00132228"/>
    <w:rsid w:val="00156745"/>
    <w:rsid w:val="00171D25"/>
    <w:rsid w:val="001849DB"/>
    <w:rsid w:val="001867BF"/>
    <w:rsid w:val="00186A8D"/>
    <w:rsid w:val="0019382E"/>
    <w:rsid w:val="001A01AE"/>
    <w:rsid w:val="001A43D9"/>
    <w:rsid w:val="001B5037"/>
    <w:rsid w:val="001B6E18"/>
    <w:rsid w:val="001C0627"/>
    <w:rsid w:val="001C1768"/>
    <w:rsid w:val="001C46E7"/>
    <w:rsid w:val="001C6AFC"/>
    <w:rsid w:val="001D0D42"/>
    <w:rsid w:val="001D2700"/>
    <w:rsid w:val="001E3FFE"/>
    <w:rsid w:val="001F13A5"/>
    <w:rsid w:val="002008E9"/>
    <w:rsid w:val="00207408"/>
    <w:rsid w:val="00211A8F"/>
    <w:rsid w:val="00217C77"/>
    <w:rsid w:val="00217DC6"/>
    <w:rsid w:val="00220979"/>
    <w:rsid w:val="00237F76"/>
    <w:rsid w:val="002413D1"/>
    <w:rsid w:val="00250882"/>
    <w:rsid w:val="00261E11"/>
    <w:rsid w:val="00262FA9"/>
    <w:rsid w:val="002737C2"/>
    <w:rsid w:val="002759D6"/>
    <w:rsid w:val="00281F1D"/>
    <w:rsid w:val="002A73AC"/>
    <w:rsid w:val="002A7814"/>
    <w:rsid w:val="002B0AA7"/>
    <w:rsid w:val="002B3412"/>
    <w:rsid w:val="002B75B6"/>
    <w:rsid w:val="002C59E7"/>
    <w:rsid w:val="002E7C20"/>
    <w:rsid w:val="002F49BC"/>
    <w:rsid w:val="002F7BFB"/>
    <w:rsid w:val="00301C27"/>
    <w:rsid w:val="003046E0"/>
    <w:rsid w:val="00317685"/>
    <w:rsid w:val="00322B8E"/>
    <w:rsid w:val="00323936"/>
    <w:rsid w:val="00330ADF"/>
    <w:rsid w:val="00330E7A"/>
    <w:rsid w:val="00331DB8"/>
    <w:rsid w:val="00335921"/>
    <w:rsid w:val="00336025"/>
    <w:rsid w:val="00347B32"/>
    <w:rsid w:val="0036744C"/>
    <w:rsid w:val="00371DC3"/>
    <w:rsid w:val="00381729"/>
    <w:rsid w:val="00390515"/>
    <w:rsid w:val="003A11C7"/>
    <w:rsid w:val="003B741C"/>
    <w:rsid w:val="003C3B70"/>
    <w:rsid w:val="003D7A0B"/>
    <w:rsid w:val="003E3F48"/>
    <w:rsid w:val="003E417C"/>
    <w:rsid w:val="003E7987"/>
    <w:rsid w:val="003F2399"/>
    <w:rsid w:val="003F3E80"/>
    <w:rsid w:val="003F419E"/>
    <w:rsid w:val="00411153"/>
    <w:rsid w:val="00417477"/>
    <w:rsid w:val="0043466A"/>
    <w:rsid w:val="00452A86"/>
    <w:rsid w:val="004571A5"/>
    <w:rsid w:val="00460E23"/>
    <w:rsid w:val="004637E0"/>
    <w:rsid w:val="00464026"/>
    <w:rsid w:val="004673C3"/>
    <w:rsid w:val="00467735"/>
    <w:rsid w:val="00486DCD"/>
    <w:rsid w:val="00490FAB"/>
    <w:rsid w:val="004A0C20"/>
    <w:rsid w:val="004B4B7D"/>
    <w:rsid w:val="004B5BFF"/>
    <w:rsid w:val="004B6681"/>
    <w:rsid w:val="004D1CA1"/>
    <w:rsid w:val="004E1ED9"/>
    <w:rsid w:val="004E6D00"/>
    <w:rsid w:val="004E7CF9"/>
    <w:rsid w:val="005015DC"/>
    <w:rsid w:val="00506F31"/>
    <w:rsid w:val="00513D78"/>
    <w:rsid w:val="00516F67"/>
    <w:rsid w:val="0052174D"/>
    <w:rsid w:val="00534DF5"/>
    <w:rsid w:val="00536854"/>
    <w:rsid w:val="00551DB6"/>
    <w:rsid w:val="005529FD"/>
    <w:rsid w:val="0055508B"/>
    <w:rsid w:val="00573C1B"/>
    <w:rsid w:val="00576A8F"/>
    <w:rsid w:val="00580DDA"/>
    <w:rsid w:val="00593C7C"/>
    <w:rsid w:val="00594CB1"/>
    <w:rsid w:val="005A0772"/>
    <w:rsid w:val="005A56C6"/>
    <w:rsid w:val="005B0BBB"/>
    <w:rsid w:val="005B71BC"/>
    <w:rsid w:val="005C6414"/>
    <w:rsid w:val="005D0E99"/>
    <w:rsid w:val="005E1F75"/>
    <w:rsid w:val="005E2882"/>
    <w:rsid w:val="005E3FE6"/>
    <w:rsid w:val="005E5728"/>
    <w:rsid w:val="005F1F58"/>
    <w:rsid w:val="005F4602"/>
    <w:rsid w:val="006000A7"/>
    <w:rsid w:val="00603B2F"/>
    <w:rsid w:val="0062612D"/>
    <w:rsid w:val="00635EF5"/>
    <w:rsid w:val="00645FBC"/>
    <w:rsid w:val="00651738"/>
    <w:rsid w:val="006518E4"/>
    <w:rsid w:val="00654B3A"/>
    <w:rsid w:val="006562D2"/>
    <w:rsid w:val="00672357"/>
    <w:rsid w:val="00672AD2"/>
    <w:rsid w:val="00676F8D"/>
    <w:rsid w:val="00684B9C"/>
    <w:rsid w:val="00690C5B"/>
    <w:rsid w:val="006979BD"/>
    <w:rsid w:val="006A1912"/>
    <w:rsid w:val="006A4A1C"/>
    <w:rsid w:val="006B2CB6"/>
    <w:rsid w:val="006B62AD"/>
    <w:rsid w:val="006B7A23"/>
    <w:rsid w:val="006C31DD"/>
    <w:rsid w:val="006C39CD"/>
    <w:rsid w:val="006C4136"/>
    <w:rsid w:val="006C5139"/>
    <w:rsid w:val="006C66BF"/>
    <w:rsid w:val="006D254B"/>
    <w:rsid w:val="006E02A4"/>
    <w:rsid w:val="006E1F0B"/>
    <w:rsid w:val="006E5510"/>
    <w:rsid w:val="006E642B"/>
    <w:rsid w:val="006E6F69"/>
    <w:rsid w:val="006E7330"/>
    <w:rsid w:val="006F287F"/>
    <w:rsid w:val="006F397D"/>
    <w:rsid w:val="006F76E5"/>
    <w:rsid w:val="00706D64"/>
    <w:rsid w:val="00707895"/>
    <w:rsid w:val="00711BD4"/>
    <w:rsid w:val="007131A1"/>
    <w:rsid w:val="00717DE8"/>
    <w:rsid w:val="007234B6"/>
    <w:rsid w:val="0073555C"/>
    <w:rsid w:val="0074317E"/>
    <w:rsid w:val="007475EA"/>
    <w:rsid w:val="00751A64"/>
    <w:rsid w:val="007554F4"/>
    <w:rsid w:val="00757F88"/>
    <w:rsid w:val="007608FD"/>
    <w:rsid w:val="00760F00"/>
    <w:rsid w:val="00763086"/>
    <w:rsid w:val="00764601"/>
    <w:rsid w:val="007665FF"/>
    <w:rsid w:val="0077429C"/>
    <w:rsid w:val="007750BC"/>
    <w:rsid w:val="007834A5"/>
    <w:rsid w:val="00796DE2"/>
    <w:rsid w:val="007A1503"/>
    <w:rsid w:val="007A244D"/>
    <w:rsid w:val="007A26E2"/>
    <w:rsid w:val="007B2CDB"/>
    <w:rsid w:val="007B55F0"/>
    <w:rsid w:val="007C067F"/>
    <w:rsid w:val="007C6A83"/>
    <w:rsid w:val="007D4A7A"/>
    <w:rsid w:val="007E1669"/>
    <w:rsid w:val="008052C4"/>
    <w:rsid w:val="00810954"/>
    <w:rsid w:val="0081772E"/>
    <w:rsid w:val="00827A59"/>
    <w:rsid w:val="008379E4"/>
    <w:rsid w:val="00841F15"/>
    <w:rsid w:val="008535CE"/>
    <w:rsid w:val="00856AE6"/>
    <w:rsid w:val="00870310"/>
    <w:rsid w:val="00870DF4"/>
    <w:rsid w:val="008801CC"/>
    <w:rsid w:val="008831A7"/>
    <w:rsid w:val="008860CB"/>
    <w:rsid w:val="008937D6"/>
    <w:rsid w:val="008A1432"/>
    <w:rsid w:val="008B07EE"/>
    <w:rsid w:val="008B222D"/>
    <w:rsid w:val="008B39D5"/>
    <w:rsid w:val="008B5604"/>
    <w:rsid w:val="008B7785"/>
    <w:rsid w:val="008D39FA"/>
    <w:rsid w:val="008D3F96"/>
    <w:rsid w:val="008D435C"/>
    <w:rsid w:val="008D7AAA"/>
    <w:rsid w:val="008E1ED9"/>
    <w:rsid w:val="008E29B0"/>
    <w:rsid w:val="008E4521"/>
    <w:rsid w:val="008E48FD"/>
    <w:rsid w:val="008F1BB8"/>
    <w:rsid w:val="008F1CCE"/>
    <w:rsid w:val="00902333"/>
    <w:rsid w:val="00904840"/>
    <w:rsid w:val="00906AC5"/>
    <w:rsid w:val="009135EF"/>
    <w:rsid w:val="00917B47"/>
    <w:rsid w:val="00922077"/>
    <w:rsid w:val="009302FB"/>
    <w:rsid w:val="00930B55"/>
    <w:rsid w:val="0093241E"/>
    <w:rsid w:val="00937A4C"/>
    <w:rsid w:val="00940D6A"/>
    <w:rsid w:val="00943D9A"/>
    <w:rsid w:val="00953196"/>
    <w:rsid w:val="00955F72"/>
    <w:rsid w:val="00957E61"/>
    <w:rsid w:val="00962542"/>
    <w:rsid w:val="009643C1"/>
    <w:rsid w:val="00992226"/>
    <w:rsid w:val="00994A75"/>
    <w:rsid w:val="009A0318"/>
    <w:rsid w:val="009A2164"/>
    <w:rsid w:val="009A32B3"/>
    <w:rsid w:val="009B2097"/>
    <w:rsid w:val="009B7C52"/>
    <w:rsid w:val="009C246A"/>
    <w:rsid w:val="009C323E"/>
    <w:rsid w:val="009D3B16"/>
    <w:rsid w:val="009D4AE5"/>
    <w:rsid w:val="00A14657"/>
    <w:rsid w:val="00A35EA3"/>
    <w:rsid w:val="00A45070"/>
    <w:rsid w:val="00A572CF"/>
    <w:rsid w:val="00A700CA"/>
    <w:rsid w:val="00A777A5"/>
    <w:rsid w:val="00A85EDC"/>
    <w:rsid w:val="00AA796C"/>
    <w:rsid w:val="00AB26CB"/>
    <w:rsid w:val="00AB321D"/>
    <w:rsid w:val="00AC6DB2"/>
    <w:rsid w:val="00AD3D5E"/>
    <w:rsid w:val="00AD46DC"/>
    <w:rsid w:val="00AE3810"/>
    <w:rsid w:val="00AE4188"/>
    <w:rsid w:val="00AE4550"/>
    <w:rsid w:val="00AE6A4B"/>
    <w:rsid w:val="00AE72DB"/>
    <w:rsid w:val="00AF4018"/>
    <w:rsid w:val="00B0477C"/>
    <w:rsid w:val="00B056A0"/>
    <w:rsid w:val="00B20948"/>
    <w:rsid w:val="00B24E21"/>
    <w:rsid w:val="00B35EE6"/>
    <w:rsid w:val="00B43DC4"/>
    <w:rsid w:val="00B538F4"/>
    <w:rsid w:val="00B603ED"/>
    <w:rsid w:val="00B620EC"/>
    <w:rsid w:val="00B67F63"/>
    <w:rsid w:val="00BA015C"/>
    <w:rsid w:val="00BA4075"/>
    <w:rsid w:val="00BA737F"/>
    <w:rsid w:val="00BB12E6"/>
    <w:rsid w:val="00BB23A6"/>
    <w:rsid w:val="00BB786D"/>
    <w:rsid w:val="00BC38D5"/>
    <w:rsid w:val="00BC3F03"/>
    <w:rsid w:val="00BD3866"/>
    <w:rsid w:val="00BD5B34"/>
    <w:rsid w:val="00BE1BEA"/>
    <w:rsid w:val="00BE4F8C"/>
    <w:rsid w:val="00BE623B"/>
    <w:rsid w:val="00BF3643"/>
    <w:rsid w:val="00BF59DF"/>
    <w:rsid w:val="00C025AB"/>
    <w:rsid w:val="00C02B63"/>
    <w:rsid w:val="00C03CEF"/>
    <w:rsid w:val="00C05858"/>
    <w:rsid w:val="00C05EF8"/>
    <w:rsid w:val="00C11C75"/>
    <w:rsid w:val="00C14457"/>
    <w:rsid w:val="00C21DB9"/>
    <w:rsid w:val="00C36C86"/>
    <w:rsid w:val="00C46740"/>
    <w:rsid w:val="00C46AE2"/>
    <w:rsid w:val="00C474B4"/>
    <w:rsid w:val="00C553CD"/>
    <w:rsid w:val="00C62566"/>
    <w:rsid w:val="00C65F2B"/>
    <w:rsid w:val="00C74905"/>
    <w:rsid w:val="00C76A87"/>
    <w:rsid w:val="00C87051"/>
    <w:rsid w:val="00C95D71"/>
    <w:rsid w:val="00CA00E6"/>
    <w:rsid w:val="00CA1A55"/>
    <w:rsid w:val="00CA5C23"/>
    <w:rsid w:val="00CB1C85"/>
    <w:rsid w:val="00CC3D3D"/>
    <w:rsid w:val="00CC4C09"/>
    <w:rsid w:val="00CD4C4C"/>
    <w:rsid w:val="00CD5EBF"/>
    <w:rsid w:val="00CE2395"/>
    <w:rsid w:val="00CE27D9"/>
    <w:rsid w:val="00CE3419"/>
    <w:rsid w:val="00CF1EC8"/>
    <w:rsid w:val="00CF2608"/>
    <w:rsid w:val="00CF4D94"/>
    <w:rsid w:val="00CF5935"/>
    <w:rsid w:val="00D035E8"/>
    <w:rsid w:val="00D072D3"/>
    <w:rsid w:val="00D07DCF"/>
    <w:rsid w:val="00D100E7"/>
    <w:rsid w:val="00D1618A"/>
    <w:rsid w:val="00D1747D"/>
    <w:rsid w:val="00D215BF"/>
    <w:rsid w:val="00D26083"/>
    <w:rsid w:val="00D40829"/>
    <w:rsid w:val="00D509BA"/>
    <w:rsid w:val="00D51A59"/>
    <w:rsid w:val="00D526F7"/>
    <w:rsid w:val="00D6035D"/>
    <w:rsid w:val="00D61EC2"/>
    <w:rsid w:val="00D626FA"/>
    <w:rsid w:val="00D62DD5"/>
    <w:rsid w:val="00D72A83"/>
    <w:rsid w:val="00D810CA"/>
    <w:rsid w:val="00D81F5B"/>
    <w:rsid w:val="00D82263"/>
    <w:rsid w:val="00D872E1"/>
    <w:rsid w:val="00D87555"/>
    <w:rsid w:val="00D91C40"/>
    <w:rsid w:val="00D97329"/>
    <w:rsid w:val="00D97C15"/>
    <w:rsid w:val="00DA6D06"/>
    <w:rsid w:val="00DA6DE3"/>
    <w:rsid w:val="00DC55B0"/>
    <w:rsid w:val="00DC6547"/>
    <w:rsid w:val="00DD2130"/>
    <w:rsid w:val="00DD6C95"/>
    <w:rsid w:val="00DE62D9"/>
    <w:rsid w:val="00DF6218"/>
    <w:rsid w:val="00E003F2"/>
    <w:rsid w:val="00E073B2"/>
    <w:rsid w:val="00E076B8"/>
    <w:rsid w:val="00E160B2"/>
    <w:rsid w:val="00E16831"/>
    <w:rsid w:val="00E20592"/>
    <w:rsid w:val="00E205D8"/>
    <w:rsid w:val="00E20851"/>
    <w:rsid w:val="00E23358"/>
    <w:rsid w:val="00E23435"/>
    <w:rsid w:val="00E244C6"/>
    <w:rsid w:val="00E33092"/>
    <w:rsid w:val="00E54048"/>
    <w:rsid w:val="00E61369"/>
    <w:rsid w:val="00E61835"/>
    <w:rsid w:val="00E752D0"/>
    <w:rsid w:val="00E84D1E"/>
    <w:rsid w:val="00E92555"/>
    <w:rsid w:val="00E92E3E"/>
    <w:rsid w:val="00E96058"/>
    <w:rsid w:val="00E96452"/>
    <w:rsid w:val="00EB10D9"/>
    <w:rsid w:val="00EB196C"/>
    <w:rsid w:val="00EC2756"/>
    <w:rsid w:val="00EC406B"/>
    <w:rsid w:val="00EC4EDB"/>
    <w:rsid w:val="00EC5392"/>
    <w:rsid w:val="00ED2597"/>
    <w:rsid w:val="00ED4502"/>
    <w:rsid w:val="00EE732D"/>
    <w:rsid w:val="00EF743F"/>
    <w:rsid w:val="00EF77C9"/>
    <w:rsid w:val="00F0048F"/>
    <w:rsid w:val="00F03F7F"/>
    <w:rsid w:val="00F11F7B"/>
    <w:rsid w:val="00F2333E"/>
    <w:rsid w:val="00F3312D"/>
    <w:rsid w:val="00F46C13"/>
    <w:rsid w:val="00F50660"/>
    <w:rsid w:val="00F63A55"/>
    <w:rsid w:val="00F716C4"/>
    <w:rsid w:val="00F77040"/>
    <w:rsid w:val="00F87838"/>
    <w:rsid w:val="00F920AF"/>
    <w:rsid w:val="00F95C16"/>
    <w:rsid w:val="00FA4662"/>
    <w:rsid w:val="00FB0BDE"/>
    <w:rsid w:val="00FB4123"/>
    <w:rsid w:val="00FB67F2"/>
    <w:rsid w:val="00FC373D"/>
    <w:rsid w:val="00FC397E"/>
    <w:rsid w:val="00FC43D1"/>
    <w:rsid w:val="00FD4EC8"/>
    <w:rsid w:val="00FD582D"/>
    <w:rsid w:val="00FD633C"/>
    <w:rsid w:val="00FD636A"/>
    <w:rsid w:val="00FD64BF"/>
    <w:rsid w:val="00FD7202"/>
    <w:rsid w:val="00FE3D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9A46D9D-B9B4-4577-B139-E072DDDB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lang w:eastAsia="ru-RU"/>
    </w:rPr>
  </w:style>
  <w:style w:type="paragraph" w:styleId="1">
    <w:name w:val="heading 1"/>
    <w:basedOn w:val="a"/>
    <w:next w:val="a"/>
    <w:qFormat/>
    <w:pPr>
      <w:keepNext/>
      <w:jc w:val="center"/>
      <w:outlineLvl w:val="0"/>
    </w:pPr>
    <w:rPr>
      <w:b/>
    </w:rPr>
  </w:style>
  <w:style w:type="paragraph" w:styleId="2">
    <w:name w:val="heading 2"/>
    <w:basedOn w:val="a"/>
    <w:next w:val="a"/>
    <w:qFormat/>
    <w:rsid w:val="006562D2"/>
    <w:pPr>
      <w:keepNext/>
      <w:spacing w:before="240" w:after="60"/>
      <w:outlineLvl w:val="1"/>
    </w:pPr>
    <w:rPr>
      <w:rFonts w:ascii="Arial" w:hAnsi="Arial" w:cs="Arial"/>
      <w:b/>
      <w:bCs/>
      <w:i/>
      <w:iCs/>
      <w:szCs w:val="28"/>
    </w:rPr>
  </w:style>
  <w:style w:type="paragraph" w:styleId="3">
    <w:name w:val="heading 3"/>
    <w:basedOn w:val="a"/>
    <w:next w:val="a"/>
    <w:link w:val="30"/>
    <w:qFormat/>
    <w:rsid w:val="006562D2"/>
    <w:pPr>
      <w:keepNext/>
      <w:spacing w:before="240" w:after="60"/>
      <w:outlineLvl w:val="2"/>
    </w:pPr>
    <w:rPr>
      <w:rFonts w:ascii="Arial" w:hAnsi="Arial" w:cs="Arial"/>
      <w:b/>
      <w:bCs/>
      <w:sz w:val="26"/>
      <w:szCs w:val="26"/>
    </w:rPr>
  </w:style>
  <w:style w:type="paragraph" w:styleId="4">
    <w:name w:val="heading 4"/>
    <w:basedOn w:val="a"/>
    <w:next w:val="a"/>
    <w:qFormat/>
    <w:rsid w:val="006562D2"/>
    <w:pPr>
      <w:keepNext/>
      <w:spacing w:before="240" w:after="60"/>
      <w:outlineLvl w:val="3"/>
    </w:pPr>
    <w:rPr>
      <w:b/>
      <w:bCs/>
      <w:szCs w:val="28"/>
    </w:rPr>
  </w:style>
  <w:style w:type="paragraph" w:styleId="5">
    <w:name w:val="heading 5"/>
    <w:basedOn w:val="a"/>
    <w:next w:val="a"/>
    <w:qFormat/>
    <w:rsid w:val="006562D2"/>
    <w:pPr>
      <w:spacing w:before="240" w:after="60"/>
      <w:outlineLvl w:val="4"/>
    </w:pPr>
    <w:rPr>
      <w:b/>
      <w:bCs/>
      <w:i/>
      <w:iCs/>
      <w:sz w:val="26"/>
      <w:szCs w:val="26"/>
    </w:rPr>
  </w:style>
  <w:style w:type="paragraph" w:styleId="6">
    <w:name w:val="heading 6"/>
    <w:basedOn w:val="a"/>
    <w:next w:val="a"/>
    <w:qFormat/>
    <w:rsid w:val="006562D2"/>
    <w:pPr>
      <w:keepNext/>
      <w:ind w:left="5220"/>
      <w:jc w:val="both"/>
      <w:outlineLvl w:val="5"/>
    </w:pPr>
    <w:rPr>
      <w:szCs w:val="24"/>
      <w:lang w:val="ru-RU"/>
    </w:rPr>
  </w:style>
  <w:style w:type="paragraph" w:styleId="7">
    <w:name w:val="heading 7"/>
    <w:basedOn w:val="a"/>
    <w:next w:val="a"/>
    <w:qFormat/>
    <w:rsid w:val="006562D2"/>
    <w:pPr>
      <w:spacing w:before="240" w:after="60"/>
      <w:outlineLvl w:val="6"/>
    </w:pPr>
    <w:rPr>
      <w:sz w:val="24"/>
      <w:szCs w:val="24"/>
    </w:rPr>
  </w:style>
  <w:style w:type="paragraph" w:styleId="8">
    <w:name w:val="heading 8"/>
    <w:basedOn w:val="a"/>
    <w:next w:val="a"/>
    <w:qFormat/>
    <w:rsid w:val="006562D2"/>
    <w:pPr>
      <w:keepNext/>
      <w:ind w:right="-851"/>
      <w:jc w:val="right"/>
      <w:outlineLvl w:val="7"/>
    </w:pPr>
    <w:rPr>
      <w:szCs w:val="24"/>
      <w:lang w:val="ru-RU"/>
    </w:rPr>
  </w:style>
  <w:style w:type="paragraph" w:styleId="9">
    <w:name w:val="heading 9"/>
    <w:basedOn w:val="a"/>
    <w:next w:val="a"/>
    <w:qFormat/>
    <w:rsid w:val="006562D2"/>
    <w:pPr>
      <w:keepNext/>
      <w:ind w:right="-851"/>
      <w:jc w:val="both"/>
      <w:outlineLvl w:val="8"/>
    </w:pPr>
    <w:rPr>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pPr>
      <w:jc w:val="center"/>
    </w:pPr>
    <w:rPr>
      <w:b/>
    </w:rPr>
  </w:style>
  <w:style w:type="paragraph" w:customStyle="1" w:styleId="Igor">
    <w:name w:val="Igor"/>
    <w:basedOn w:val="a"/>
    <w:autoRedefine/>
    <w:rsid w:val="00690C5B"/>
    <w:pPr>
      <w:spacing w:before="120" w:after="120"/>
      <w:ind w:firstLine="709"/>
      <w:jc w:val="both"/>
    </w:pPr>
    <w:rPr>
      <w:iCs/>
      <w:color w:val="000000"/>
      <w:szCs w:val="28"/>
    </w:rPr>
  </w:style>
  <w:style w:type="paragraph" w:styleId="a3">
    <w:name w:val="Body Text"/>
    <w:basedOn w:val="a"/>
    <w:pPr>
      <w:jc w:val="both"/>
    </w:pPr>
  </w:style>
  <w:style w:type="character" w:styleId="a4">
    <w:name w:val="Strong"/>
    <w:basedOn w:val="a0"/>
    <w:qFormat/>
    <w:rPr>
      <w:b/>
      <w:sz w:val="20"/>
    </w:rPr>
  </w:style>
  <w:style w:type="paragraph" w:styleId="20">
    <w:name w:val="Body Text 2"/>
    <w:basedOn w:val="a"/>
    <w:pPr>
      <w:jc w:val="center"/>
    </w:pPr>
    <w:rPr>
      <w:b/>
      <w:iCs/>
    </w:rPr>
  </w:style>
  <w:style w:type="paragraph" w:styleId="a5">
    <w:name w:val="header"/>
    <w:basedOn w:val="a"/>
    <w:pPr>
      <w:tabs>
        <w:tab w:val="center" w:pos="4677"/>
        <w:tab w:val="right" w:pos="9355"/>
      </w:tabs>
    </w:pPr>
  </w:style>
  <w:style w:type="paragraph" w:styleId="a6">
    <w:name w:val="footer"/>
    <w:basedOn w:val="a"/>
    <w:link w:val="a7"/>
    <w:uiPriority w:val="99"/>
    <w:pPr>
      <w:tabs>
        <w:tab w:val="center" w:pos="4677"/>
        <w:tab w:val="right" w:pos="9355"/>
      </w:tabs>
    </w:pPr>
  </w:style>
  <w:style w:type="paragraph" w:styleId="a8">
    <w:name w:val="Balloon Text"/>
    <w:basedOn w:val="a"/>
    <w:semiHidden/>
    <w:rPr>
      <w:rFonts w:ascii="Tahoma" w:hAnsi="Tahoma" w:cs="Tahoma"/>
      <w:sz w:val="16"/>
      <w:szCs w:val="16"/>
    </w:rPr>
  </w:style>
  <w:style w:type="character" w:styleId="a9">
    <w:name w:val="page number"/>
    <w:basedOn w:val="a0"/>
  </w:style>
  <w:style w:type="paragraph" w:styleId="aa">
    <w:name w:val="Title"/>
    <w:basedOn w:val="a"/>
    <w:qFormat/>
    <w:pPr>
      <w:spacing w:line="360" w:lineRule="auto"/>
      <w:jc w:val="center"/>
    </w:pPr>
    <w:rPr>
      <w:szCs w:val="24"/>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lang w:val="ru-RU"/>
    </w:rPr>
  </w:style>
  <w:style w:type="character" w:styleId="ab">
    <w:name w:val="Hyperlink"/>
    <w:basedOn w:val="a0"/>
    <w:rsid w:val="006A4A1C"/>
    <w:rPr>
      <w:strike w:val="0"/>
      <w:dstrike w:val="0"/>
      <w:color w:val="0260D0"/>
      <w:u w:val="none"/>
      <w:effect w:val="none"/>
    </w:rPr>
  </w:style>
  <w:style w:type="paragraph" w:styleId="31">
    <w:name w:val="Body Text 3"/>
    <w:basedOn w:val="a"/>
    <w:rsid w:val="006562D2"/>
    <w:pPr>
      <w:spacing w:after="120"/>
    </w:pPr>
    <w:rPr>
      <w:sz w:val="16"/>
      <w:szCs w:val="16"/>
    </w:rPr>
  </w:style>
  <w:style w:type="paragraph" w:styleId="ac">
    <w:name w:val="Body Text Indent"/>
    <w:basedOn w:val="a"/>
    <w:rsid w:val="006562D2"/>
    <w:pPr>
      <w:spacing w:after="120"/>
      <w:ind w:left="283"/>
    </w:pPr>
  </w:style>
  <w:style w:type="paragraph" w:styleId="21">
    <w:name w:val="Body Text Indent 2"/>
    <w:basedOn w:val="a"/>
    <w:rsid w:val="006562D2"/>
    <w:pPr>
      <w:spacing w:after="120" w:line="480" w:lineRule="auto"/>
      <w:ind w:left="283"/>
    </w:pPr>
  </w:style>
  <w:style w:type="paragraph" w:styleId="32">
    <w:name w:val="Body Text Indent 3"/>
    <w:basedOn w:val="a"/>
    <w:rsid w:val="006562D2"/>
    <w:pPr>
      <w:spacing w:after="120"/>
      <w:ind w:left="283"/>
    </w:pPr>
    <w:rPr>
      <w:sz w:val="16"/>
      <w:szCs w:val="16"/>
    </w:rPr>
  </w:style>
  <w:style w:type="paragraph" w:customStyle="1" w:styleId="ad">
    <w:name w:val="Нормальний текст"/>
    <w:basedOn w:val="a"/>
    <w:rsid w:val="00AF4018"/>
    <w:pPr>
      <w:spacing w:before="120"/>
      <w:ind w:firstLine="567"/>
    </w:pPr>
    <w:rPr>
      <w:rFonts w:ascii="Antiqua" w:hAnsi="Antiqua"/>
      <w:sz w:val="26"/>
    </w:rPr>
  </w:style>
  <w:style w:type="paragraph" w:customStyle="1" w:styleId="ParagraphStyle">
    <w:name w:val="Paragraph Style"/>
    <w:rsid w:val="00841F15"/>
    <w:pPr>
      <w:autoSpaceDE w:val="0"/>
      <w:autoSpaceDN w:val="0"/>
      <w:adjustRightInd w:val="0"/>
    </w:pPr>
    <w:rPr>
      <w:rFonts w:ascii="Courier New" w:hAnsi="Courier New"/>
      <w:sz w:val="24"/>
      <w:szCs w:val="24"/>
      <w:lang w:val="ru-RU" w:eastAsia="ru-RU"/>
    </w:rPr>
  </w:style>
  <w:style w:type="paragraph" w:customStyle="1" w:styleId="ae">
    <w:name w:val="Ігор"/>
    <w:basedOn w:val="a"/>
    <w:rsid w:val="00BB786D"/>
    <w:pPr>
      <w:autoSpaceDE w:val="0"/>
      <w:autoSpaceDN w:val="0"/>
      <w:spacing w:before="120"/>
      <w:ind w:firstLine="567"/>
      <w:jc w:val="both"/>
    </w:pPr>
    <w:rPr>
      <w:szCs w:val="26"/>
    </w:rPr>
  </w:style>
  <w:style w:type="character" w:customStyle="1" w:styleId="30">
    <w:name w:val="Заголовок 3 Знак"/>
    <w:link w:val="3"/>
    <w:semiHidden/>
    <w:locked/>
    <w:rsid w:val="006E5510"/>
    <w:rPr>
      <w:rFonts w:ascii="Arial" w:hAnsi="Arial" w:cs="Arial"/>
      <w:b/>
      <w:bCs/>
      <w:sz w:val="26"/>
      <w:szCs w:val="26"/>
      <w:lang w:val="uk-UA" w:eastAsia="ru-RU" w:bidi="ar-SA"/>
    </w:rPr>
  </w:style>
  <w:style w:type="paragraph" w:styleId="af">
    <w:name w:val="Normal (Web)"/>
    <w:basedOn w:val="a"/>
    <w:rsid w:val="007C067F"/>
    <w:pPr>
      <w:spacing w:before="100" w:beforeAutospacing="1" w:after="100" w:afterAutospacing="1"/>
    </w:pPr>
    <w:rPr>
      <w:sz w:val="24"/>
      <w:szCs w:val="24"/>
      <w:lang w:val="ru-RU"/>
    </w:rPr>
  </w:style>
  <w:style w:type="paragraph" w:customStyle="1" w:styleId="rvps2">
    <w:name w:val="rvps2"/>
    <w:basedOn w:val="a"/>
    <w:rsid w:val="009A2164"/>
    <w:pPr>
      <w:spacing w:before="100" w:beforeAutospacing="1" w:after="100" w:afterAutospacing="1"/>
    </w:pPr>
    <w:rPr>
      <w:sz w:val="24"/>
      <w:szCs w:val="24"/>
      <w:lang w:eastAsia="uk-UA"/>
    </w:rPr>
  </w:style>
  <w:style w:type="character" w:customStyle="1" w:styleId="rvts0">
    <w:name w:val="rvts0"/>
    <w:basedOn w:val="a0"/>
    <w:rsid w:val="002E7C20"/>
  </w:style>
  <w:style w:type="paragraph" w:customStyle="1" w:styleId="st1">
    <w:name w:val="st1"/>
    <w:uiPriority w:val="99"/>
    <w:rsid w:val="00112CF1"/>
    <w:pPr>
      <w:autoSpaceDE w:val="0"/>
      <w:autoSpaceDN w:val="0"/>
      <w:adjustRightInd w:val="0"/>
      <w:spacing w:before="150"/>
      <w:jc w:val="center"/>
    </w:pPr>
    <w:rPr>
      <w:rFonts w:ascii="Courier New" w:hAnsi="Courier New" w:cs="Courier New"/>
      <w:sz w:val="24"/>
      <w:szCs w:val="24"/>
      <w:lang w:val="ru-RU"/>
    </w:rPr>
  </w:style>
  <w:style w:type="paragraph" w:customStyle="1" w:styleId="st2">
    <w:name w:val="st2"/>
    <w:uiPriority w:val="99"/>
    <w:rsid w:val="00112CF1"/>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31">
    <w:name w:val="st131"/>
    <w:uiPriority w:val="99"/>
    <w:rsid w:val="00112CF1"/>
    <w:rPr>
      <w:rFonts w:ascii="Times New Roman" w:hAnsi="Times New Roman" w:cs="Times New Roman"/>
      <w:i/>
      <w:iCs/>
      <w:color w:val="0000FF"/>
      <w:sz w:val="56"/>
      <w:szCs w:val="56"/>
    </w:rPr>
  </w:style>
  <w:style w:type="character" w:customStyle="1" w:styleId="st42">
    <w:name w:val="st42"/>
    <w:uiPriority w:val="99"/>
    <w:rsid w:val="00112CF1"/>
    <w:rPr>
      <w:rFonts w:ascii="Times New Roman" w:hAnsi="Times New Roman" w:cs="Times New Roman"/>
      <w:color w:val="000000"/>
      <w:sz w:val="56"/>
      <w:szCs w:val="56"/>
    </w:rPr>
  </w:style>
  <w:style w:type="character" w:customStyle="1" w:styleId="st46">
    <w:name w:val="st46"/>
    <w:uiPriority w:val="99"/>
    <w:rsid w:val="00112CF1"/>
    <w:rPr>
      <w:rFonts w:ascii="Times New Roman" w:hAnsi="Times New Roman" w:cs="Times New Roman"/>
      <w:i/>
      <w:iCs/>
      <w:color w:val="000000"/>
      <w:sz w:val="56"/>
      <w:szCs w:val="56"/>
    </w:rPr>
  </w:style>
  <w:style w:type="character" w:customStyle="1" w:styleId="st101">
    <w:name w:val="st101"/>
    <w:uiPriority w:val="99"/>
    <w:rsid w:val="001D2700"/>
    <w:rPr>
      <w:rFonts w:ascii="Times New Roman" w:hAnsi="Times New Roman" w:cs="Times New Roman"/>
      <w:b/>
      <w:bCs/>
      <w:color w:val="000000"/>
      <w:sz w:val="56"/>
      <w:szCs w:val="56"/>
    </w:rPr>
  </w:style>
  <w:style w:type="character" w:customStyle="1" w:styleId="st24">
    <w:name w:val="st24"/>
    <w:uiPriority w:val="99"/>
    <w:rsid w:val="001D2700"/>
    <w:rPr>
      <w:rFonts w:ascii="Times New Roman" w:hAnsi="Times New Roman" w:cs="Times New Roman"/>
      <w:b/>
      <w:bCs/>
      <w:color w:val="000000"/>
      <w:sz w:val="64"/>
      <w:szCs w:val="64"/>
    </w:rPr>
  </w:style>
  <w:style w:type="character" w:customStyle="1" w:styleId="st96">
    <w:name w:val="st96"/>
    <w:uiPriority w:val="99"/>
    <w:rsid w:val="001D2700"/>
    <w:rPr>
      <w:rFonts w:ascii="Times New Roman" w:hAnsi="Times New Roman" w:cs="Times New Roman"/>
      <w:color w:val="0000FF"/>
      <w:sz w:val="56"/>
      <w:szCs w:val="56"/>
    </w:rPr>
  </w:style>
  <w:style w:type="character" w:styleId="af0">
    <w:name w:val="annotation reference"/>
    <w:basedOn w:val="a0"/>
    <w:rsid w:val="002B3412"/>
    <w:rPr>
      <w:sz w:val="16"/>
      <w:szCs w:val="16"/>
    </w:rPr>
  </w:style>
  <w:style w:type="paragraph" w:styleId="af1">
    <w:name w:val="annotation text"/>
    <w:basedOn w:val="a"/>
    <w:link w:val="af2"/>
    <w:rsid w:val="002B3412"/>
    <w:rPr>
      <w:sz w:val="20"/>
    </w:rPr>
  </w:style>
  <w:style w:type="character" w:customStyle="1" w:styleId="af2">
    <w:name w:val="Текст примітки Знак"/>
    <w:basedOn w:val="a0"/>
    <w:link w:val="af1"/>
    <w:rsid w:val="002B3412"/>
    <w:rPr>
      <w:lang w:eastAsia="ru-RU"/>
    </w:rPr>
  </w:style>
  <w:style w:type="paragraph" w:styleId="af3">
    <w:name w:val="annotation subject"/>
    <w:basedOn w:val="af1"/>
    <w:next w:val="af1"/>
    <w:link w:val="af4"/>
    <w:rsid w:val="002B3412"/>
    <w:rPr>
      <w:b/>
      <w:bCs/>
    </w:rPr>
  </w:style>
  <w:style w:type="character" w:customStyle="1" w:styleId="af4">
    <w:name w:val="Тема примітки Знак"/>
    <w:basedOn w:val="af2"/>
    <w:link w:val="af3"/>
    <w:rsid w:val="002B3412"/>
    <w:rPr>
      <w:b/>
      <w:bCs/>
      <w:lang w:eastAsia="ru-RU"/>
    </w:rPr>
  </w:style>
  <w:style w:type="paragraph" w:customStyle="1" w:styleId="norm">
    <w:name w:val="norm"/>
    <w:basedOn w:val="a"/>
    <w:rsid w:val="00CF2608"/>
    <w:pPr>
      <w:spacing w:before="100" w:beforeAutospacing="1" w:after="100" w:afterAutospacing="1"/>
    </w:pPr>
    <w:rPr>
      <w:sz w:val="24"/>
      <w:szCs w:val="24"/>
      <w:lang w:eastAsia="uk-UA"/>
    </w:rPr>
  </w:style>
  <w:style w:type="character" w:customStyle="1" w:styleId="a7">
    <w:name w:val="Нижній колонтитул Знак"/>
    <w:basedOn w:val="a0"/>
    <w:link w:val="a6"/>
    <w:uiPriority w:val="99"/>
    <w:rsid w:val="00C21DB9"/>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214855">
      <w:bodyDiv w:val="1"/>
      <w:marLeft w:val="0"/>
      <w:marRight w:val="0"/>
      <w:marTop w:val="0"/>
      <w:marBottom w:val="0"/>
      <w:divBdr>
        <w:top w:val="none" w:sz="0" w:space="0" w:color="auto"/>
        <w:left w:val="none" w:sz="0" w:space="0" w:color="auto"/>
        <w:bottom w:val="none" w:sz="0" w:space="0" w:color="auto"/>
        <w:right w:val="none" w:sz="0" w:space="0" w:color="auto"/>
      </w:divBdr>
    </w:div>
    <w:div w:id="16762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5.rada.gov.ua/laws/show/984_011/paran282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9348</Words>
  <Characters>5329</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Наталія Олександрівна Ромашевська</cp:lastModifiedBy>
  <cp:revision>2</cp:revision>
  <cp:lastPrinted>2018-05-07T11:30:00Z</cp:lastPrinted>
  <dcterms:created xsi:type="dcterms:W3CDTF">2018-05-07T11:51:00Z</dcterms:created>
  <dcterms:modified xsi:type="dcterms:W3CDTF">2018-05-07T11:51:00Z</dcterms:modified>
</cp:coreProperties>
</file>