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pos="3780"/>
        </w:tabs>
        <w:spacing w:after="0" w:line="240" w:lineRule="auto"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ВИСНОВОК</w:t>
      </w:r>
    </w:p>
    <w:p w:rsidR="00000000" w:rsidDel="00000000" w:rsidP="00000000" w:rsidRDefault="00000000" w:rsidRPr="00000000" w14:paraId="0000000C">
      <w:pPr>
        <w:tabs>
          <w:tab w:val="left" w:pos="1260"/>
        </w:tabs>
        <w:spacing w:after="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щодо відповідності проекту нормативно-правового акта</w:t>
      </w:r>
    </w:p>
    <w:p w:rsidR="00000000" w:rsidDel="00000000" w:rsidP="00000000" w:rsidRDefault="00000000" w:rsidRPr="00000000" w14:paraId="0000000D">
      <w:pPr>
        <w:spacing w:after="36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вимогам антикорупційного законодавства</w:t>
      </w:r>
    </w:p>
    <w:p w:rsidR="00000000" w:rsidDel="00000000" w:rsidP="00000000" w:rsidRDefault="00000000" w:rsidRPr="00000000" w14:paraId="0000000E">
      <w:pPr>
        <w:spacing w:after="360" w:line="240" w:lineRule="auto"/>
        <w:ind w:left="709"/>
        <w:contextualSpacing w:val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Назва проекту акта: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Проект Закону про внесення змін до деяких законів України щодо удосконалення законодавства у сфері заборони грального бізнесу.</w:t>
      </w:r>
    </w:p>
    <w:p w:rsidR="00000000" w:rsidDel="00000000" w:rsidP="00000000" w:rsidRDefault="00000000" w:rsidRPr="00000000" w14:paraId="00000010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Реєстр. № 8047-1 від 28.02.2018 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Суб’єкт права законодавчої ініціативи: народні депутати України Добродомов Д.Є., Матківський Б.М. та інші.</w:t>
      </w:r>
    </w:p>
    <w:p w:rsidR="00000000" w:rsidDel="00000000" w:rsidP="00000000" w:rsidRDefault="00000000" w:rsidRPr="00000000" w14:paraId="00000014">
      <w:pPr>
        <w:shd w:fill="ffffff" w:val="clear"/>
        <w:spacing w:after="36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Головний комітет з підготовки і попереднього розгляду – Комітет з питань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white"/>
          <w:rtl w:val="0"/>
        </w:rPr>
        <w:t xml:space="preserve">податкової та митної політики.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u w:val="single"/>
          <w:rtl w:val="0"/>
        </w:rPr>
        <w:t xml:space="preserve">У проекті акта не виявлено корупціогенних факторів – проект акта відповідає вимогам антикорупційного законодавства</w:t>
      </w:r>
      <w:r w:rsidDel="00000000" w:rsidR="00000000" w:rsidRPr="00000000">
        <w:rPr>
          <w:rtl w:val="0"/>
        </w:rPr>
        <w:t xml:space="preserve"> (рішення Комітету від            16 травня 2018 року, протокол № 119).</w:t>
      </w:r>
    </w:p>
    <w:p w:rsidR="00000000" w:rsidDel="00000000" w:rsidP="00000000" w:rsidRDefault="00000000" w:rsidRPr="00000000" w14:paraId="00000016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Перший заступник Голови Комітету</w:t>
        <w:tab/>
        <w:tab/>
        <w:tab/>
        <w:tab/>
        <w:tab/>
        <w:t xml:space="preserve">Ю. Савчук</w:t>
      </w:r>
    </w:p>
    <w:p w:rsidR="00000000" w:rsidDel="00000000" w:rsidP="00000000" w:rsidRDefault="00000000" w:rsidRPr="00000000" w14:paraId="00000019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shd w:fill="ffffff" w:val="clear"/>
      <w:ind w:left="7088"/>
      <w:contextualSpacing w:val="0"/>
      <w:jc w:val="right"/>
      <w:rPr/>
    </w:pPr>
    <w:r w:rsidDel="00000000" w:rsidR="00000000" w:rsidRPr="00000000">
      <w:rPr>
        <w:rtl w:val="0"/>
      </w:rPr>
      <w:t xml:space="preserve">                                                                                             До реєстр. № 8047-1 від 28.02.2018 р.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