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0CFF" w:rsidRDefault="00880CFF" w:rsidP="00426E01">
      <w:pPr>
        <w:jc w:val="right"/>
        <w:rPr>
          <w:sz w:val="24"/>
        </w:rPr>
      </w:pPr>
    </w:p>
    <w:p w:rsidR="00880CFF" w:rsidRDefault="00880CFF" w:rsidP="00426E01">
      <w:pPr>
        <w:jc w:val="right"/>
        <w:rPr>
          <w:sz w:val="24"/>
        </w:rPr>
      </w:pPr>
    </w:p>
    <w:p w:rsidR="00880CFF" w:rsidRDefault="00880CFF" w:rsidP="00426E01">
      <w:pPr>
        <w:jc w:val="right"/>
        <w:rPr>
          <w:sz w:val="24"/>
        </w:rPr>
      </w:pPr>
    </w:p>
    <w:p w:rsidR="00880CFF" w:rsidRDefault="00880CFF" w:rsidP="00426E01">
      <w:pPr>
        <w:jc w:val="right"/>
        <w:rPr>
          <w:sz w:val="24"/>
        </w:rPr>
      </w:pPr>
    </w:p>
    <w:p w:rsidR="00880CFF" w:rsidRDefault="00880CFF" w:rsidP="00426E01">
      <w:pPr>
        <w:jc w:val="right"/>
        <w:rPr>
          <w:sz w:val="24"/>
        </w:rPr>
      </w:pPr>
    </w:p>
    <w:p w:rsidR="00880CFF" w:rsidRPr="003206B8" w:rsidRDefault="00880CFF" w:rsidP="00426E01">
      <w:pPr>
        <w:jc w:val="right"/>
        <w:rPr>
          <w:sz w:val="24"/>
        </w:rPr>
      </w:pPr>
      <w:r>
        <w:rPr>
          <w:sz w:val="24"/>
        </w:rPr>
        <w:t>До реєстр. № 8184</w:t>
      </w:r>
      <w:r w:rsidRPr="003206B8">
        <w:rPr>
          <w:sz w:val="24"/>
        </w:rPr>
        <w:t xml:space="preserve"> </w:t>
      </w:r>
    </w:p>
    <w:p w:rsidR="00880CFF" w:rsidRPr="003206B8" w:rsidRDefault="00880CFF" w:rsidP="00426E01">
      <w:pPr>
        <w:jc w:val="right"/>
        <w:rPr>
          <w:sz w:val="24"/>
        </w:rPr>
      </w:pPr>
      <w:r w:rsidRPr="003206B8">
        <w:rPr>
          <w:sz w:val="24"/>
        </w:rPr>
        <w:t>(друге читання)</w:t>
      </w:r>
    </w:p>
    <w:p w:rsidR="00880CFF" w:rsidRPr="003206B8" w:rsidRDefault="00880CFF" w:rsidP="00426E01">
      <w:pPr>
        <w:jc w:val="center"/>
        <w:rPr>
          <w:b/>
          <w:sz w:val="24"/>
        </w:rPr>
      </w:pPr>
    </w:p>
    <w:p w:rsidR="00880CFF" w:rsidRPr="003206B8" w:rsidRDefault="00880CFF" w:rsidP="00426E01">
      <w:pPr>
        <w:jc w:val="right"/>
        <w:rPr>
          <w:sz w:val="24"/>
        </w:rPr>
      </w:pPr>
    </w:p>
    <w:p w:rsidR="00880CFF" w:rsidRDefault="00880CFF" w:rsidP="00426E01">
      <w:pPr>
        <w:jc w:val="center"/>
        <w:rPr>
          <w:b/>
          <w:szCs w:val="28"/>
        </w:rPr>
      </w:pPr>
    </w:p>
    <w:p w:rsidR="00880CFF" w:rsidRPr="004D63BC" w:rsidRDefault="00880CFF" w:rsidP="00426E01">
      <w:pPr>
        <w:jc w:val="center"/>
        <w:rPr>
          <w:b/>
          <w:szCs w:val="28"/>
          <w:lang w:val="ru-RU"/>
        </w:rPr>
      </w:pPr>
      <w:bookmarkStart w:id="0" w:name="_GoBack"/>
      <w:bookmarkEnd w:id="0"/>
    </w:p>
    <w:p w:rsidR="00880CFF" w:rsidRPr="003206B8" w:rsidRDefault="00880CFF" w:rsidP="00426E01">
      <w:pPr>
        <w:jc w:val="center"/>
        <w:rPr>
          <w:b/>
          <w:szCs w:val="28"/>
        </w:rPr>
      </w:pPr>
    </w:p>
    <w:p w:rsidR="00880CFF" w:rsidRPr="003206B8" w:rsidRDefault="00880CFF" w:rsidP="00426E01">
      <w:pPr>
        <w:jc w:val="center"/>
        <w:rPr>
          <w:b/>
          <w:szCs w:val="28"/>
        </w:rPr>
      </w:pPr>
    </w:p>
    <w:p w:rsidR="00880CFF" w:rsidRPr="003206B8" w:rsidRDefault="00880CFF" w:rsidP="006D22C1">
      <w:pPr>
        <w:ind w:firstLine="0"/>
        <w:jc w:val="center"/>
        <w:rPr>
          <w:b/>
          <w:caps/>
          <w:szCs w:val="28"/>
        </w:rPr>
      </w:pPr>
      <w:r w:rsidRPr="003206B8">
        <w:rPr>
          <w:b/>
          <w:caps/>
          <w:szCs w:val="28"/>
        </w:rPr>
        <w:t>зауваження</w:t>
      </w:r>
    </w:p>
    <w:p w:rsidR="00880CFF" w:rsidRPr="003206B8" w:rsidRDefault="00880CFF" w:rsidP="006D22C1">
      <w:pPr>
        <w:ind w:firstLine="0"/>
        <w:jc w:val="center"/>
        <w:rPr>
          <w:b/>
          <w:szCs w:val="28"/>
        </w:rPr>
      </w:pPr>
      <w:r w:rsidRPr="003206B8">
        <w:rPr>
          <w:b/>
          <w:szCs w:val="28"/>
        </w:rPr>
        <w:t>до проекту Закону України</w:t>
      </w:r>
    </w:p>
    <w:p w:rsidR="00880CFF" w:rsidRDefault="00880CFF" w:rsidP="006D22C1">
      <w:pPr>
        <w:ind w:firstLine="0"/>
        <w:jc w:val="center"/>
        <w:rPr>
          <w:b/>
          <w:bCs/>
          <w:szCs w:val="28"/>
        </w:rPr>
      </w:pPr>
      <w:r w:rsidRPr="003206B8">
        <w:rPr>
          <w:b/>
          <w:bCs/>
          <w:szCs w:val="28"/>
        </w:rPr>
        <w:t>«Про внесенн</w:t>
      </w:r>
      <w:r>
        <w:rPr>
          <w:b/>
          <w:bCs/>
          <w:szCs w:val="28"/>
        </w:rPr>
        <w:t xml:space="preserve">я змін до Кримінального кодексу України </w:t>
      </w:r>
    </w:p>
    <w:p w:rsidR="00880CFF" w:rsidRDefault="00880CFF" w:rsidP="006D22C1">
      <w:pPr>
        <w:ind w:firstLine="0"/>
        <w:jc w:val="center"/>
        <w:rPr>
          <w:b/>
          <w:bCs/>
          <w:szCs w:val="28"/>
        </w:rPr>
      </w:pPr>
      <w:r>
        <w:rPr>
          <w:b/>
          <w:bCs/>
          <w:szCs w:val="28"/>
        </w:rPr>
        <w:t xml:space="preserve">щодо невідворотності покарання за окремі злочини </w:t>
      </w:r>
    </w:p>
    <w:p w:rsidR="00880CFF" w:rsidRPr="003206B8" w:rsidRDefault="00880CFF" w:rsidP="006D22C1">
      <w:pPr>
        <w:ind w:firstLine="0"/>
        <w:jc w:val="center"/>
        <w:rPr>
          <w:b/>
          <w:szCs w:val="28"/>
        </w:rPr>
      </w:pPr>
      <w:r>
        <w:rPr>
          <w:b/>
          <w:bCs/>
          <w:szCs w:val="28"/>
        </w:rPr>
        <w:t>проти власності, безпеки руху та експлуатації транспорту</w:t>
      </w:r>
      <w:r w:rsidRPr="003206B8">
        <w:rPr>
          <w:b/>
          <w:bCs/>
          <w:szCs w:val="28"/>
        </w:rPr>
        <w:t>»</w:t>
      </w:r>
    </w:p>
    <w:p w:rsidR="00880CFF" w:rsidRDefault="00880CFF" w:rsidP="006D22C1">
      <w:pPr>
        <w:ind w:firstLine="0"/>
        <w:jc w:val="center"/>
        <w:rPr>
          <w:szCs w:val="28"/>
        </w:rPr>
      </w:pPr>
      <w:r>
        <w:rPr>
          <w:szCs w:val="28"/>
        </w:rPr>
        <w:t>(реєстраційний № 8184</w:t>
      </w:r>
      <w:r w:rsidRPr="003206B8">
        <w:rPr>
          <w:szCs w:val="28"/>
        </w:rPr>
        <w:t>)</w:t>
      </w:r>
    </w:p>
    <w:p w:rsidR="00880CFF" w:rsidRDefault="00880CFF" w:rsidP="00426E01">
      <w:pPr>
        <w:jc w:val="center"/>
        <w:rPr>
          <w:szCs w:val="28"/>
        </w:rPr>
      </w:pPr>
    </w:p>
    <w:p w:rsidR="00880CFF" w:rsidRPr="003206B8" w:rsidRDefault="00880CFF" w:rsidP="00426E01">
      <w:pPr>
        <w:jc w:val="center"/>
        <w:rPr>
          <w:szCs w:val="28"/>
        </w:rPr>
      </w:pPr>
    </w:p>
    <w:p w:rsidR="00880CFF" w:rsidRDefault="00880CFF" w:rsidP="00426E01">
      <w:pPr>
        <w:ind w:firstLine="700"/>
        <w:rPr>
          <w:szCs w:val="28"/>
        </w:rPr>
      </w:pPr>
      <w:r w:rsidRPr="003206B8">
        <w:rPr>
          <w:szCs w:val="28"/>
        </w:rPr>
        <w:tab/>
        <w:t xml:space="preserve"> У Головному </w:t>
      </w:r>
      <w:r>
        <w:rPr>
          <w:szCs w:val="28"/>
        </w:rPr>
        <w:t>юридичному управлінні проаналізовано</w:t>
      </w:r>
      <w:r w:rsidRPr="003206B8">
        <w:rPr>
          <w:szCs w:val="28"/>
        </w:rPr>
        <w:t xml:space="preserve"> проект Закону України </w:t>
      </w:r>
      <w:r w:rsidRPr="003206B8">
        <w:rPr>
          <w:bCs/>
          <w:szCs w:val="28"/>
        </w:rPr>
        <w:t>«Про внесенн</w:t>
      </w:r>
      <w:r>
        <w:rPr>
          <w:bCs/>
          <w:szCs w:val="28"/>
        </w:rPr>
        <w:t>я змін до Кримінального кодексу України щодо невідворотності покарання за окремі злочини проти власності, безпеки руху та експлуатації транспорту</w:t>
      </w:r>
      <w:r w:rsidRPr="003206B8">
        <w:rPr>
          <w:bCs/>
          <w:szCs w:val="28"/>
        </w:rPr>
        <w:t>»</w:t>
      </w:r>
      <w:r w:rsidRPr="003206B8">
        <w:rPr>
          <w:szCs w:val="28"/>
        </w:rPr>
        <w:t>, підготовлений</w:t>
      </w:r>
      <w:r>
        <w:rPr>
          <w:szCs w:val="28"/>
        </w:rPr>
        <w:t xml:space="preserve"> Комітетом з питань законодавчого забезпечення правоохоронної діяльності</w:t>
      </w:r>
      <w:r w:rsidRPr="003206B8">
        <w:rPr>
          <w:szCs w:val="28"/>
        </w:rPr>
        <w:t xml:space="preserve"> для ро</w:t>
      </w:r>
      <w:r>
        <w:rPr>
          <w:szCs w:val="28"/>
        </w:rPr>
        <w:t>згляду Верховною Радою України в</w:t>
      </w:r>
      <w:r w:rsidRPr="003206B8">
        <w:rPr>
          <w:szCs w:val="28"/>
        </w:rPr>
        <w:t xml:space="preserve"> другому читанні. </w:t>
      </w:r>
    </w:p>
    <w:p w:rsidR="00880CFF" w:rsidRDefault="00880CFF" w:rsidP="00426E01">
      <w:pPr>
        <w:ind w:firstLine="700"/>
        <w:rPr>
          <w:bCs/>
          <w:szCs w:val="28"/>
        </w:rPr>
      </w:pPr>
      <w:r>
        <w:rPr>
          <w:bCs/>
          <w:szCs w:val="28"/>
        </w:rPr>
        <w:t>Підтримуючи в цілому зауваження Головного науково-експертного управління (висновок від 22.03.2018), з</w:t>
      </w:r>
      <w:r w:rsidRPr="003206B8">
        <w:rPr>
          <w:bCs/>
          <w:szCs w:val="28"/>
        </w:rPr>
        <w:t>а результатами аналізу тексту законопроекту Головне юридичне  управління вважає за</w:t>
      </w:r>
      <w:r>
        <w:rPr>
          <w:bCs/>
          <w:szCs w:val="28"/>
        </w:rPr>
        <w:t xml:space="preserve"> необхідне</w:t>
      </w:r>
      <w:r w:rsidRPr="003206B8">
        <w:rPr>
          <w:bCs/>
          <w:szCs w:val="28"/>
        </w:rPr>
        <w:t xml:space="preserve"> висловити таке.</w:t>
      </w:r>
    </w:p>
    <w:p w:rsidR="00880CFF" w:rsidRDefault="00880CFF" w:rsidP="00426E01">
      <w:pPr>
        <w:ind w:firstLine="700"/>
        <w:rPr>
          <w:bCs/>
          <w:szCs w:val="28"/>
        </w:rPr>
      </w:pPr>
    </w:p>
    <w:p w:rsidR="00880CFF" w:rsidRDefault="00880CFF" w:rsidP="00CE1509">
      <w:pPr>
        <w:rPr>
          <w:szCs w:val="28"/>
        </w:rPr>
      </w:pPr>
      <w:r>
        <w:rPr>
          <w:szCs w:val="28"/>
        </w:rPr>
        <w:t>Як вбачається з пояснювальної записки, з</w:t>
      </w:r>
      <w:r w:rsidRPr="003B3466">
        <w:rPr>
          <w:szCs w:val="28"/>
        </w:rPr>
        <w:t>аконопроект розроблен</w:t>
      </w:r>
      <w:r>
        <w:rPr>
          <w:szCs w:val="28"/>
        </w:rPr>
        <w:t>ий</w:t>
      </w:r>
      <w:r w:rsidRPr="003B3466">
        <w:rPr>
          <w:szCs w:val="28"/>
        </w:rPr>
        <w:t xml:space="preserve"> </w:t>
      </w:r>
      <w:r>
        <w:rPr>
          <w:szCs w:val="28"/>
        </w:rPr>
        <w:t>«</w:t>
      </w:r>
      <w:r w:rsidRPr="003B3466">
        <w:rPr>
          <w:szCs w:val="28"/>
        </w:rPr>
        <w:t xml:space="preserve">задля невідворотності застосування більш суворого виду кримінальної відповідальності за незаконне заволодіння транспортними засобами (зокрема, повторне незаконне заволодіння транспортним засобом або за попередньою змовою групою осіб, або </w:t>
      </w:r>
      <w:r>
        <w:rPr>
          <w:szCs w:val="28"/>
        </w:rPr>
        <w:t xml:space="preserve">вчинене у </w:t>
      </w:r>
      <w:r w:rsidRPr="003B3466">
        <w:rPr>
          <w:szCs w:val="28"/>
        </w:rPr>
        <w:t xml:space="preserve">поєднанні з насильством, небезпечним для життя, здоров’я потерпілого чи без такого, або з погрозою </w:t>
      </w:r>
      <w:r>
        <w:rPr>
          <w:szCs w:val="28"/>
        </w:rPr>
        <w:t>застосування такого, або вчинене</w:t>
      </w:r>
      <w:r w:rsidRPr="003B3466">
        <w:rPr>
          <w:szCs w:val="28"/>
        </w:rPr>
        <w:t xml:space="preserve"> з проникненням у приміщення чи інше сховище), а також вчинен</w:t>
      </w:r>
      <w:r>
        <w:rPr>
          <w:szCs w:val="28"/>
        </w:rPr>
        <w:t>ня крадіжок, грабежів та розбоїв».</w:t>
      </w:r>
    </w:p>
    <w:p w:rsidR="00880CFF" w:rsidRDefault="00880CFF" w:rsidP="00CE1509">
      <w:pPr>
        <w:rPr>
          <w:rFonts w:ascii="Times New Roman CYR" w:hAnsi="Times New Roman CYR" w:cs="Times New Roman CYR"/>
          <w:szCs w:val="28"/>
        </w:rPr>
      </w:pPr>
      <w:r>
        <w:rPr>
          <w:szCs w:val="28"/>
        </w:rPr>
        <w:t>З цією метою проектом пропонується:</w:t>
      </w:r>
      <w:r w:rsidRPr="008A560F">
        <w:rPr>
          <w:szCs w:val="28"/>
        </w:rPr>
        <w:t xml:space="preserve"> </w:t>
      </w:r>
      <w:r>
        <w:rPr>
          <w:rFonts w:ascii="Times New Roman CYR" w:hAnsi="Times New Roman CYR" w:cs="Times New Roman CYR"/>
          <w:szCs w:val="28"/>
        </w:rPr>
        <w:t>частину</w:t>
      </w:r>
      <w:r w:rsidRPr="008A560F">
        <w:rPr>
          <w:rFonts w:ascii="Times New Roman CYR" w:hAnsi="Times New Roman CYR" w:cs="Times New Roman CYR"/>
          <w:szCs w:val="28"/>
        </w:rPr>
        <w:t xml:space="preserve"> </w:t>
      </w:r>
      <w:r>
        <w:rPr>
          <w:rFonts w:ascii="Times New Roman CYR" w:hAnsi="Times New Roman CYR" w:cs="Times New Roman CYR"/>
          <w:szCs w:val="28"/>
        </w:rPr>
        <w:t xml:space="preserve">третю статті 185 </w:t>
      </w:r>
      <w:r w:rsidRPr="008A560F">
        <w:rPr>
          <w:szCs w:val="28"/>
        </w:rPr>
        <w:t xml:space="preserve"> </w:t>
      </w:r>
      <w:r>
        <w:rPr>
          <w:bCs/>
          <w:szCs w:val="28"/>
        </w:rPr>
        <w:t>Кримінального кодексу України</w:t>
      </w:r>
      <w:r>
        <w:rPr>
          <w:rFonts w:ascii="Times New Roman CYR" w:hAnsi="Times New Roman CYR" w:cs="Times New Roman CYR"/>
          <w:szCs w:val="28"/>
        </w:rPr>
        <w:t xml:space="preserve"> доповнити такою кваліфікуючою ознакою, як вчинення відповідного злочину </w:t>
      </w:r>
      <w:r w:rsidRPr="00C8543C">
        <w:rPr>
          <w:rFonts w:ascii="Times New Roman CYR" w:hAnsi="Times New Roman CYR" w:cs="Times New Roman CYR"/>
          <w:szCs w:val="28"/>
          <w:u w:val="single"/>
        </w:rPr>
        <w:t>із застосуванням електронного пристрою для прихованого втручання в роботу технічних систем охорони (блокування) стаціонарних або рухомих об’єктів, з метою отримання несанкціонованого (неконтрольованого) доступу до них</w:t>
      </w:r>
      <w:r>
        <w:rPr>
          <w:rFonts w:ascii="Times New Roman CYR" w:hAnsi="Times New Roman CYR" w:cs="Times New Roman CYR"/>
          <w:szCs w:val="28"/>
        </w:rPr>
        <w:t xml:space="preserve">;  із частини другої статті 289 Кодексу виключити таку кваліфікуючу ознаку, як </w:t>
      </w:r>
      <w:r w:rsidRPr="00C8543C">
        <w:rPr>
          <w:rFonts w:ascii="Times New Roman CYR" w:hAnsi="Times New Roman CYR" w:cs="Times New Roman CYR"/>
          <w:szCs w:val="28"/>
          <w:u w:val="single"/>
        </w:rPr>
        <w:t>завдання значної матеріальної шкоди</w:t>
      </w:r>
      <w:r>
        <w:rPr>
          <w:rFonts w:ascii="Times New Roman CYR" w:hAnsi="Times New Roman CYR" w:cs="Times New Roman CYR"/>
          <w:szCs w:val="28"/>
          <w:u w:val="single"/>
        </w:rPr>
        <w:t>,</w:t>
      </w:r>
      <w:r>
        <w:rPr>
          <w:rFonts w:ascii="Times New Roman CYR" w:hAnsi="Times New Roman CYR" w:cs="Times New Roman CYR"/>
          <w:szCs w:val="28"/>
        </w:rPr>
        <w:t xml:space="preserve"> та</w:t>
      </w:r>
      <w:r w:rsidRPr="00C8543C">
        <w:rPr>
          <w:rFonts w:ascii="Times New Roman CYR" w:hAnsi="Times New Roman CYR" w:cs="Times New Roman CYR"/>
          <w:szCs w:val="28"/>
        </w:rPr>
        <w:t xml:space="preserve"> вс</w:t>
      </w:r>
      <w:r>
        <w:rPr>
          <w:rFonts w:ascii="Times New Roman CYR" w:hAnsi="Times New Roman CYR" w:cs="Times New Roman CYR"/>
          <w:szCs w:val="28"/>
        </w:rPr>
        <w:t>тановити кримінальну відповідальність за незаконне заволодіння транспортним засобом, якщо предметом «</w:t>
      </w:r>
      <w:r w:rsidRPr="00C8543C">
        <w:rPr>
          <w:rFonts w:ascii="Times New Roman CYR" w:hAnsi="Times New Roman CYR" w:cs="Times New Roman CYR"/>
          <w:szCs w:val="28"/>
        </w:rPr>
        <w:t xml:space="preserve">незаконного заволодіння є транспортний засіб, ринкова ціна якого на момент вчинення злочину становить </w:t>
      </w:r>
      <w:r w:rsidRPr="00C8543C">
        <w:rPr>
          <w:rFonts w:ascii="Times New Roman CYR" w:hAnsi="Times New Roman CYR" w:cs="Times New Roman CYR"/>
          <w:szCs w:val="28"/>
          <w:u w:val="single"/>
        </w:rPr>
        <w:t>значний розмір</w:t>
      </w:r>
      <w:r w:rsidRPr="00C8543C">
        <w:rPr>
          <w:rFonts w:ascii="Times New Roman CYR" w:hAnsi="Times New Roman CYR" w:cs="Times New Roman CYR"/>
          <w:szCs w:val="28"/>
        </w:rPr>
        <w:t>, або із застосуванням електронного пристрою для прихованого втручання в роботу технічних систем охорони (блокування) стаціонарних або рухомих об’єктів, з метою отримання несанкціонованого (неконтрольованого) доступу до них</w:t>
      </w:r>
      <w:r>
        <w:rPr>
          <w:rFonts w:ascii="Times New Roman CYR" w:hAnsi="Times New Roman CYR" w:cs="Times New Roman CYR"/>
          <w:szCs w:val="28"/>
        </w:rPr>
        <w:t xml:space="preserve">». Крім того, в частині третій  статті 289 цього ж Кодексу замість такої кваліфікуючої ознаки злочину, як </w:t>
      </w:r>
      <w:r w:rsidRPr="00943CA7">
        <w:rPr>
          <w:rFonts w:ascii="Times New Roman CYR" w:hAnsi="Times New Roman CYR" w:cs="Times New Roman CYR"/>
          <w:szCs w:val="28"/>
          <w:u w:val="single"/>
        </w:rPr>
        <w:t>завдання великої матеріальної шкоди</w:t>
      </w:r>
      <w:r>
        <w:rPr>
          <w:rFonts w:ascii="Times New Roman CYR" w:hAnsi="Times New Roman CYR" w:cs="Times New Roman CYR"/>
          <w:szCs w:val="28"/>
          <w:u w:val="single"/>
        </w:rPr>
        <w:t>,</w:t>
      </w:r>
      <w:r w:rsidRPr="00943CA7">
        <w:rPr>
          <w:rFonts w:ascii="Times New Roman CYR" w:hAnsi="Times New Roman CYR" w:cs="Times New Roman CYR"/>
          <w:szCs w:val="28"/>
        </w:rPr>
        <w:t xml:space="preserve"> </w:t>
      </w:r>
      <w:r>
        <w:rPr>
          <w:rFonts w:ascii="Times New Roman CYR" w:hAnsi="Times New Roman CYR" w:cs="Times New Roman CYR"/>
          <w:szCs w:val="28"/>
        </w:rPr>
        <w:t>запропоновано встановити відповідальність за відповідні діяння,</w:t>
      </w:r>
      <w:r w:rsidRPr="00943CA7">
        <w:rPr>
          <w:rFonts w:ascii="Times New Roman CYR" w:hAnsi="Times New Roman CYR" w:cs="Times New Roman CYR"/>
          <w:szCs w:val="28"/>
        </w:rPr>
        <w:t xml:space="preserve"> якщо предметом незаконного заволодіння є </w:t>
      </w:r>
      <w:r w:rsidRPr="00943CA7">
        <w:rPr>
          <w:rFonts w:ascii="Times New Roman CYR" w:hAnsi="Times New Roman CYR" w:cs="Times New Roman CYR"/>
          <w:szCs w:val="28"/>
          <w:u w:val="single"/>
        </w:rPr>
        <w:t>транспортний засіб, ринкова ціна якого на момент вчинення злочину становить великий розмір</w:t>
      </w:r>
      <w:r>
        <w:rPr>
          <w:rFonts w:ascii="Times New Roman CYR" w:hAnsi="Times New Roman CYR" w:cs="Times New Roman CYR"/>
          <w:szCs w:val="28"/>
        </w:rPr>
        <w:t>, а  пункт 3 примітки до цієї ж статті пропонується викласти у новій редакції, відповідно до якої «</w:t>
      </w:r>
      <w:r w:rsidRPr="002337FF">
        <w:rPr>
          <w:rFonts w:ascii="Times New Roman CYR" w:hAnsi="Times New Roman CYR" w:cs="Times New Roman CYR"/>
          <w:szCs w:val="28"/>
        </w:rPr>
        <w:t xml:space="preserve">під </w:t>
      </w:r>
      <w:r w:rsidRPr="002337FF">
        <w:rPr>
          <w:rFonts w:ascii="Times New Roman CYR" w:hAnsi="Times New Roman CYR" w:cs="Times New Roman CYR"/>
          <w:szCs w:val="28"/>
          <w:u w:val="single"/>
        </w:rPr>
        <w:t>значним</w:t>
      </w:r>
      <w:r w:rsidRPr="002337FF">
        <w:rPr>
          <w:rFonts w:ascii="Times New Roman CYR" w:hAnsi="Times New Roman CYR" w:cs="Times New Roman CYR"/>
          <w:szCs w:val="28"/>
        </w:rPr>
        <w:t xml:space="preserve"> розміром слід розуміти вартість транспортного засобу від ста до двохсот п’ятдесяти неоподатковуваних мінімумів доходів громадян, а  </w:t>
      </w:r>
      <w:r w:rsidRPr="002337FF">
        <w:rPr>
          <w:rFonts w:ascii="Times New Roman CYR" w:hAnsi="Times New Roman CYR" w:cs="Times New Roman CYR"/>
          <w:szCs w:val="28"/>
          <w:u w:val="single"/>
        </w:rPr>
        <w:t xml:space="preserve">великим </w:t>
      </w:r>
      <w:r w:rsidRPr="002337FF">
        <w:rPr>
          <w:rFonts w:ascii="Times New Roman CYR" w:hAnsi="Times New Roman CYR" w:cs="Times New Roman CYR"/>
          <w:szCs w:val="28"/>
        </w:rPr>
        <w:t xml:space="preserve">розміром </w:t>
      </w:r>
      <w:r>
        <w:rPr>
          <w:rFonts w:ascii="Times New Roman CYR" w:hAnsi="Times New Roman CYR" w:cs="Times New Roman CYR"/>
          <w:szCs w:val="28"/>
        </w:rPr>
        <w:t xml:space="preserve">- </w:t>
      </w:r>
      <w:r w:rsidRPr="002337FF">
        <w:rPr>
          <w:rFonts w:ascii="Times New Roman CYR" w:hAnsi="Times New Roman CYR" w:cs="Times New Roman CYR"/>
          <w:szCs w:val="28"/>
        </w:rPr>
        <w:t>вартість транспортного засобу понад двісті п’ятдесят</w:t>
      </w:r>
      <w:r w:rsidRPr="00943CA7">
        <w:rPr>
          <w:rFonts w:ascii="Times New Roman CYR" w:hAnsi="Times New Roman CYR" w:cs="Times New Roman CYR"/>
          <w:szCs w:val="28"/>
        </w:rPr>
        <w:t xml:space="preserve"> неоподатковуваних мінімумів доходів громадян</w:t>
      </w:r>
      <w:r>
        <w:rPr>
          <w:rFonts w:ascii="Times New Roman CYR" w:hAnsi="Times New Roman CYR" w:cs="Times New Roman CYR"/>
          <w:szCs w:val="28"/>
        </w:rPr>
        <w:t>».</w:t>
      </w:r>
    </w:p>
    <w:p w:rsidR="00880CFF" w:rsidRDefault="00880CFF" w:rsidP="00CE1509">
      <w:pPr>
        <w:rPr>
          <w:rFonts w:ascii="Times New Roman CYR" w:hAnsi="Times New Roman CYR" w:cs="Times New Roman CYR"/>
          <w:szCs w:val="28"/>
        </w:rPr>
      </w:pPr>
    </w:p>
    <w:p w:rsidR="00880CFF" w:rsidRDefault="00880CFF" w:rsidP="00CE1509">
      <w:pPr>
        <w:tabs>
          <w:tab w:val="left" w:pos="851"/>
        </w:tabs>
        <w:rPr>
          <w:rStyle w:val="rvts0"/>
        </w:rPr>
      </w:pPr>
      <w:r>
        <w:rPr>
          <w:bCs/>
          <w:szCs w:val="28"/>
        </w:rPr>
        <w:t>1. Щодо пропозиції встановити кримінальну відповідальність за крадіжку, та незаконне заволодіння транспортним засобом, що вчинені із «</w:t>
      </w:r>
      <w:r w:rsidRPr="00EF190F">
        <w:rPr>
          <w:bCs/>
          <w:szCs w:val="28"/>
        </w:rPr>
        <w:t>застосуванням електронного пристрою для прихованого втручання в роботу технічних систем охорони (блокування) стаціонарних або рухомих об’єктів, з метою отримання несанкціонованого (неконтрольованого) доступу до них</w:t>
      </w:r>
      <w:r>
        <w:rPr>
          <w:bCs/>
          <w:szCs w:val="28"/>
        </w:rPr>
        <w:t xml:space="preserve">» (частина третя статті 185 та частина друга статті 289 Кримінального кодексу України), необхідно зазначити, що чинне законодавство України не містить визначення таких понять, як </w:t>
      </w:r>
      <w:r w:rsidRPr="00A70DAA">
        <w:rPr>
          <w:bCs/>
          <w:szCs w:val="28"/>
        </w:rPr>
        <w:t>«електронний пристрій для прихованого втручання», «технічні системи охорони (блокування) стаціонарних або рухомих об’єктів», «несанкціонований (неконтрольований) доступ до стаціонарних або рухомих об’єктів».</w:t>
      </w:r>
      <w:r>
        <w:rPr>
          <w:bCs/>
          <w:szCs w:val="28"/>
        </w:rPr>
        <w:t xml:space="preserve"> Ймовірно, під поняттям </w:t>
      </w:r>
      <w:r w:rsidRPr="00486F3B">
        <w:rPr>
          <w:bCs/>
          <w:szCs w:val="28"/>
        </w:rPr>
        <w:t>«електронний пристрій для прихованого втручання</w:t>
      </w:r>
      <w:r>
        <w:rPr>
          <w:bCs/>
          <w:szCs w:val="28"/>
        </w:rPr>
        <w:t>» розуміється</w:t>
      </w:r>
      <w:r w:rsidRPr="00486F3B">
        <w:rPr>
          <w:bCs/>
          <w:szCs w:val="28"/>
        </w:rPr>
        <w:t xml:space="preserve"> спеціально</w:t>
      </w:r>
      <w:r>
        <w:rPr>
          <w:bCs/>
          <w:szCs w:val="28"/>
        </w:rPr>
        <w:t xml:space="preserve"> виготовлений електронний пристрій, за допомогою якого можна вимкнути сигналізацію, установлену в транспортному засобі, квартирі, будинку тощо. </w:t>
      </w:r>
      <w:r w:rsidRPr="00476C75">
        <w:rPr>
          <w:bCs/>
          <w:szCs w:val="28"/>
        </w:rPr>
        <w:t xml:space="preserve">Відповідно до статті 1 Закону України «Про охоронну діяльність» </w:t>
      </w:r>
      <w:r w:rsidRPr="00476C75">
        <w:t xml:space="preserve"> </w:t>
      </w:r>
      <w:r>
        <w:rPr>
          <w:rStyle w:val="rvts0"/>
        </w:rPr>
        <w:t xml:space="preserve">технічні </w:t>
      </w:r>
      <w:r w:rsidRPr="00476C75">
        <w:rPr>
          <w:rStyle w:val="rvts0"/>
          <w:u w:val="single"/>
        </w:rPr>
        <w:t>засоби</w:t>
      </w:r>
      <w:r>
        <w:rPr>
          <w:rStyle w:val="rvts0"/>
        </w:rPr>
        <w:t xml:space="preserve"> охорони - це «технічні засоби, що використовуються під час здійснення охоронної діяльності: системи, прилади та обладнання для виявлення, оповіщення і попередження про наявність небезпеки для життя людей та/або майна», при цьому про технічні </w:t>
      </w:r>
      <w:r w:rsidRPr="00476C75">
        <w:rPr>
          <w:rStyle w:val="rvts0"/>
          <w:u w:val="single"/>
        </w:rPr>
        <w:t xml:space="preserve">системи </w:t>
      </w:r>
      <w:r>
        <w:rPr>
          <w:rStyle w:val="rvts0"/>
        </w:rPr>
        <w:t>охорони (блокування) в ньому не йдеться.</w:t>
      </w:r>
    </w:p>
    <w:p w:rsidR="00880CFF" w:rsidRDefault="00880CFF" w:rsidP="00272545">
      <w:pPr>
        <w:ind w:firstLine="708"/>
        <w:rPr>
          <w:bCs/>
          <w:szCs w:val="28"/>
        </w:rPr>
      </w:pPr>
      <w:r>
        <w:rPr>
          <w:szCs w:val="28"/>
        </w:rPr>
        <w:t>З</w:t>
      </w:r>
      <w:r w:rsidRPr="00F65916">
        <w:rPr>
          <w:szCs w:val="28"/>
        </w:rPr>
        <w:t>а такого законодавчого пі</w:t>
      </w:r>
      <w:r>
        <w:rPr>
          <w:szCs w:val="28"/>
        </w:rPr>
        <w:t xml:space="preserve">дходу законопроектом не </w:t>
      </w:r>
      <w:r w:rsidRPr="00F65916">
        <w:rPr>
          <w:szCs w:val="28"/>
        </w:rPr>
        <w:t xml:space="preserve"> враховуються правові позиції Конституційного Суду України, який дійшов висновку, що визначальними елементами верховенства права є принципи рівності і справедливості, правової визначеності, ясності і недвозначності правової норми, оскільки інше не може забезпечити її однакове застосування, не виключає необмеженості трактування у правозастосовній практиці і неминуче призводить до сваволі (абзац другий підпункту 5.4 пункту 5 мотивувальної частини Рішення Конституційного Суду Укр</w:t>
      </w:r>
      <w:r>
        <w:rPr>
          <w:szCs w:val="28"/>
        </w:rPr>
        <w:t>аїни від 22 вересня 2005 року №</w:t>
      </w:r>
      <w:r w:rsidRPr="00F65916">
        <w:rPr>
          <w:szCs w:val="28"/>
        </w:rPr>
        <w:t>5-рп/2005). Принцип пра</w:t>
      </w:r>
      <w:r>
        <w:rPr>
          <w:szCs w:val="28"/>
        </w:rPr>
        <w:t>вової визначеності означає, що «</w:t>
      </w:r>
      <w:r w:rsidRPr="00F65916">
        <w:rPr>
          <w:szCs w:val="28"/>
        </w:rPr>
        <w:t>обмеження основних прав людини та громадянина і втілення цих обмежень на практиці допустиме лише за умови забезпечення передбачуваності застосування правових норм, встановлюваних такими обмеженнями</w:t>
      </w:r>
      <w:r>
        <w:rPr>
          <w:szCs w:val="28"/>
        </w:rPr>
        <w:t>»</w:t>
      </w:r>
      <w:r w:rsidRPr="00F65916">
        <w:rPr>
          <w:szCs w:val="28"/>
        </w:rPr>
        <w:t xml:space="preserve"> (абзац третій підпункту 3.1 пункту 3 мотивувальної частини Рішення Конституційного Суду Ук</w:t>
      </w:r>
      <w:r>
        <w:rPr>
          <w:szCs w:val="28"/>
        </w:rPr>
        <w:t>раїни від 29 червня 2010 року №</w:t>
      </w:r>
      <w:r w:rsidRPr="00F65916">
        <w:rPr>
          <w:szCs w:val="28"/>
        </w:rPr>
        <w:t>17-рп/2010</w:t>
      </w:r>
      <w:r>
        <w:rPr>
          <w:szCs w:val="28"/>
        </w:rPr>
        <w:t>). Разом з тим,</w:t>
      </w:r>
      <w:r>
        <w:rPr>
          <w:bCs/>
          <w:szCs w:val="28"/>
        </w:rPr>
        <w:t xml:space="preserve"> така термінологічна невизначеність є неприпустимою, на наш погляд, для законодавства про кримінальну відповідальність. </w:t>
      </w:r>
    </w:p>
    <w:p w:rsidR="00880CFF" w:rsidRPr="00DC1B10" w:rsidRDefault="00880CFF" w:rsidP="00272545">
      <w:pPr>
        <w:ind w:firstLine="708"/>
        <w:rPr>
          <w:bCs/>
          <w:szCs w:val="28"/>
        </w:rPr>
      </w:pPr>
      <w:r>
        <w:rPr>
          <w:bCs/>
          <w:szCs w:val="28"/>
        </w:rPr>
        <w:t xml:space="preserve">   Крім того, використання  «електронних пристроїв», зазначених у проекті, на нашу думку, </w:t>
      </w:r>
      <w:r w:rsidRPr="00DC1B10">
        <w:rPr>
          <w:bCs/>
          <w:szCs w:val="28"/>
        </w:rPr>
        <w:t>є одним із способів незаконного проникнення</w:t>
      </w:r>
      <w:r>
        <w:rPr>
          <w:bCs/>
          <w:szCs w:val="28"/>
        </w:rPr>
        <w:t xml:space="preserve"> до житла, іншого приміщення чи сховища з метою вчинення крадіжки, пограбування тощо, за які наразі вже передбачено кримінальну відповідальність, а відтак запропоновані у проекті доповнення  не впливатимуть</w:t>
      </w:r>
      <w:r w:rsidRPr="00DC1B10">
        <w:rPr>
          <w:bCs/>
          <w:szCs w:val="28"/>
        </w:rPr>
        <w:t xml:space="preserve"> на кваліфікацію відповідних діянь.  </w:t>
      </w:r>
    </w:p>
    <w:p w:rsidR="00880CFF" w:rsidRDefault="00880CFF" w:rsidP="00CE1509">
      <w:pPr>
        <w:tabs>
          <w:tab w:val="left" w:pos="851"/>
        </w:tabs>
        <w:rPr>
          <w:bCs/>
          <w:szCs w:val="28"/>
        </w:rPr>
      </w:pPr>
      <w:r>
        <w:rPr>
          <w:bCs/>
          <w:szCs w:val="28"/>
        </w:rPr>
        <w:t xml:space="preserve">При </w:t>
      </w:r>
      <w:r w:rsidRPr="0031337E">
        <w:rPr>
          <w:bCs/>
          <w:szCs w:val="28"/>
        </w:rPr>
        <w:t>цьому транспортний засіб не відноситься до жодного із об’єктів, проникнення до яких визнається наразі обставиною, що обтяжує</w:t>
      </w:r>
      <w:r>
        <w:rPr>
          <w:bCs/>
          <w:szCs w:val="28"/>
        </w:rPr>
        <w:t xml:space="preserve"> кримінальну відповідальність за вчинення крадіжки. Однак вказівка у пропонованих нормах на </w:t>
      </w:r>
      <w:r w:rsidRPr="0031337E">
        <w:rPr>
          <w:bCs/>
          <w:szCs w:val="28"/>
        </w:rPr>
        <w:t>«рухомі об’єкти» (</w:t>
      </w:r>
      <w:r>
        <w:rPr>
          <w:bCs/>
          <w:szCs w:val="28"/>
        </w:rPr>
        <w:t xml:space="preserve">частина третя статті 185 Кримінального кодексу України в редакції проекту) дозволяє дійти висновку, що у законопроекті пропонується розповсюдити дію вказаних норм Особливої частини Кримінального кодексу України на випадки викрадення чужого майна шляхом проникнення і до транспортного засобу. Проте, на нашу думку,  рівень суспільної небезпечності вказаного діяння є  нижчим ніж, наприклад, таємного викрадення чужого майна, поєднаного із проникненням до приватного будинку. Так, зокрема, з огляду на запропоновані зміни за частиною третьою статті 185 Кримінального кодексу України  кваліфікуватимуться і таємне пограбування квартири, звідки викрадені цінні речі, значні грошові кошти  тощо, і </w:t>
      </w:r>
      <w:r w:rsidRPr="007556CA">
        <w:rPr>
          <w:bCs/>
          <w:szCs w:val="28"/>
        </w:rPr>
        <w:t>крадіжка аудіо</w:t>
      </w:r>
      <w:r>
        <w:rPr>
          <w:bCs/>
          <w:szCs w:val="28"/>
        </w:rPr>
        <w:t xml:space="preserve"> програвача із салону</w:t>
      </w:r>
      <w:r w:rsidRPr="007556CA">
        <w:rPr>
          <w:bCs/>
          <w:szCs w:val="28"/>
        </w:rPr>
        <w:t xml:space="preserve"> автомобіля </w:t>
      </w:r>
      <w:r>
        <w:rPr>
          <w:bCs/>
          <w:szCs w:val="28"/>
        </w:rPr>
        <w:t xml:space="preserve">(за відсутності ознак дрібного викрадення чужого майна, відповідальність за яке передбачена статтею 51 Кодексу України про адміністративні правопорушення). </w:t>
      </w:r>
    </w:p>
    <w:p w:rsidR="00880CFF" w:rsidRDefault="00880CFF" w:rsidP="00CE1509">
      <w:pPr>
        <w:tabs>
          <w:tab w:val="left" w:pos="851"/>
        </w:tabs>
        <w:rPr>
          <w:bCs/>
          <w:szCs w:val="28"/>
        </w:rPr>
      </w:pPr>
    </w:p>
    <w:p w:rsidR="00880CFF" w:rsidRDefault="00880CFF" w:rsidP="00CE1509">
      <w:pPr>
        <w:tabs>
          <w:tab w:val="left" w:pos="851"/>
        </w:tabs>
        <w:rPr>
          <w:bCs/>
          <w:szCs w:val="28"/>
        </w:rPr>
      </w:pPr>
      <w:r>
        <w:rPr>
          <w:bCs/>
          <w:szCs w:val="28"/>
        </w:rPr>
        <w:t>2. Щодо запропонованих змін до статті 289 Кримінального кодексу України, відповідно до яких такі кваліфікуючі ознаки незаконного заволодіння транспортним засобом, як завдання значної та великої матеріальної шкоди, замінюються відповідною ринковою вартісною оцінкою того чи іншого транспортного засобу</w:t>
      </w:r>
      <w:r w:rsidRPr="007556CA">
        <w:rPr>
          <w:bCs/>
          <w:szCs w:val="28"/>
        </w:rPr>
        <w:t>,</w:t>
      </w:r>
      <w:r>
        <w:rPr>
          <w:bCs/>
          <w:szCs w:val="28"/>
        </w:rPr>
        <w:t xml:space="preserve"> то слід зазначити, що заподіяна </w:t>
      </w:r>
      <w:r w:rsidRPr="007556CA">
        <w:rPr>
          <w:bCs/>
          <w:szCs w:val="28"/>
        </w:rPr>
        <w:t>матеріальна шко</w:t>
      </w:r>
      <w:r>
        <w:rPr>
          <w:bCs/>
          <w:szCs w:val="28"/>
        </w:rPr>
        <w:t xml:space="preserve">да є набагато ширшим поняттям, </w:t>
      </w:r>
      <w:r w:rsidRPr="007556CA">
        <w:rPr>
          <w:bCs/>
          <w:szCs w:val="28"/>
        </w:rPr>
        <w:t>ніж вартість автомобіля</w:t>
      </w:r>
      <w:r>
        <w:rPr>
          <w:bCs/>
          <w:szCs w:val="28"/>
        </w:rPr>
        <w:t xml:space="preserve">. Зокрема, у даному випадку до розміру такої шкоди відносяться витрати, які складаються не тільки з вартості автомобіля, а й з витрат на його пошук, транспортування, ремонт тощо. </w:t>
      </w:r>
    </w:p>
    <w:p w:rsidR="00880CFF" w:rsidRDefault="00880CFF" w:rsidP="00CE1509">
      <w:pPr>
        <w:tabs>
          <w:tab w:val="left" w:pos="851"/>
        </w:tabs>
        <w:rPr>
          <w:bCs/>
          <w:szCs w:val="28"/>
        </w:rPr>
      </w:pPr>
      <w:r>
        <w:rPr>
          <w:bCs/>
          <w:szCs w:val="28"/>
        </w:rPr>
        <w:t>Крім того</w:t>
      </w:r>
      <w:r w:rsidRPr="005E425D">
        <w:rPr>
          <w:bCs/>
          <w:szCs w:val="28"/>
        </w:rPr>
        <w:t>,</w:t>
      </w:r>
      <w:r>
        <w:rPr>
          <w:bCs/>
          <w:szCs w:val="28"/>
        </w:rPr>
        <w:t xml:space="preserve"> такі зміни у пояснювальній записці обґрунтовуються тим, що існуюча редакція статті 289 Кримінального кодексу України </w:t>
      </w:r>
      <w:r w:rsidRPr="004A1B6F">
        <w:rPr>
          <w:bCs/>
          <w:szCs w:val="28"/>
        </w:rPr>
        <w:t xml:space="preserve">надає змогу правопорушнику уникнути більш суворого виду кримінальної відповідальності </w:t>
      </w:r>
      <w:r w:rsidRPr="00296038">
        <w:rPr>
          <w:bCs/>
          <w:szCs w:val="28"/>
        </w:rPr>
        <w:t xml:space="preserve">у випадку </w:t>
      </w:r>
      <w:r w:rsidRPr="00296038">
        <w:rPr>
          <w:bCs/>
          <w:szCs w:val="28"/>
          <w:u w:val="single"/>
        </w:rPr>
        <w:t>повторного</w:t>
      </w:r>
      <w:r w:rsidRPr="00296038">
        <w:rPr>
          <w:bCs/>
          <w:szCs w:val="28"/>
        </w:rPr>
        <w:t xml:space="preserve"> вчинення такого виду злочину,</w:t>
      </w:r>
      <w:r w:rsidRPr="004A1B6F">
        <w:rPr>
          <w:bCs/>
          <w:szCs w:val="28"/>
        </w:rPr>
        <w:t xml:space="preserve"> </w:t>
      </w:r>
      <w:r>
        <w:rPr>
          <w:bCs/>
          <w:szCs w:val="28"/>
        </w:rPr>
        <w:t>«</w:t>
      </w:r>
      <w:r w:rsidRPr="00296038">
        <w:rPr>
          <w:bCs/>
          <w:szCs w:val="28"/>
        </w:rPr>
        <w:t>оскільки, як свідчить практика</w:t>
      </w:r>
      <w:r>
        <w:rPr>
          <w:bCs/>
          <w:szCs w:val="28"/>
        </w:rPr>
        <w:t>,</w:t>
      </w:r>
      <w:r w:rsidRPr="00296038">
        <w:rPr>
          <w:bCs/>
          <w:szCs w:val="28"/>
        </w:rPr>
        <w:t xml:space="preserve"> основною кваліфікуючою ознакою </w:t>
      </w:r>
      <w:r w:rsidRPr="00296038">
        <w:rPr>
          <w:bCs/>
          <w:szCs w:val="28"/>
          <w:u w:val="single"/>
        </w:rPr>
        <w:t>є наявність реального збитку</w:t>
      </w:r>
      <w:r w:rsidRPr="00296038">
        <w:rPr>
          <w:bCs/>
          <w:szCs w:val="28"/>
        </w:rPr>
        <w:t>, який завдано потерпілому</w:t>
      </w:r>
      <w:r>
        <w:rPr>
          <w:bCs/>
          <w:szCs w:val="28"/>
        </w:rPr>
        <w:t xml:space="preserve">. </w:t>
      </w:r>
      <w:r w:rsidRPr="004A1B6F">
        <w:rPr>
          <w:bCs/>
          <w:szCs w:val="28"/>
        </w:rPr>
        <w:t xml:space="preserve">Відсутність реального збитку, </w:t>
      </w:r>
      <w:r w:rsidRPr="004A1B6F">
        <w:rPr>
          <w:bCs/>
          <w:szCs w:val="28"/>
          <w:u w:val="single"/>
        </w:rPr>
        <w:t>тобто повернення потерпілому транспортного засобу, у тому числі повернення транспортного засобу власникові без участі правопорушника</w:t>
      </w:r>
      <w:r w:rsidRPr="004A1B6F">
        <w:rPr>
          <w:bCs/>
          <w:szCs w:val="28"/>
        </w:rPr>
        <w:t>, дає змогу останньому уникнути більш суворого виду кримінальн</w:t>
      </w:r>
      <w:r>
        <w:rPr>
          <w:bCs/>
          <w:szCs w:val="28"/>
        </w:rPr>
        <w:t xml:space="preserve">ої відповідальності, оскільки змушує слідчого  </w:t>
      </w:r>
      <w:r w:rsidRPr="004A1B6F">
        <w:rPr>
          <w:bCs/>
          <w:szCs w:val="28"/>
        </w:rPr>
        <w:t>перекваліф</w:t>
      </w:r>
      <w:r>
        <w:rPr>
          <w:bCs/>
          <w:szCs w:val="28"/>
        </w:rPr>
        <w:t>ікувати злочинні дії з частини другої або третьої на частину першу</w:t>
      </w:r>
      <w:r w:rsidRPr="004A1B6F">
        <w:rPr>
          <w:bCs/>
          <w:szCs w:val="28"/>
        </w:rPr>
        <w:t xml:space="preserve"> статті 289 Кримінального кодексу України</w:t>
      </w:r>
      <w:r>
        <w:rPr>
          <w:bCs/>
          <w:szCs w:val="28"/>
        </w:rPr>
        <w:t xml:space="preserve">». Проте необхідно зауважити, що така обтяжуюча обставина незаконного заволодіння транспортним засобом, як </w:t>
      </w:r>
      <w:r w:rsidRPr="005E425D">
        <w:rPr>
          <w:bCs/>
          <w:szCs w:val="28"/>
        </w:rPr>
        <w:t>вчинення зазначеного</w:t>
      </w:r>
      <w:r>
        <w:rPr>
          <w:bCs/>
          <w:szCs w:val="28"/>
        </w:rPr>
        <w:t xml:space="preserve"> діяння повторно,</w:t>
      </w:r>
      <w:r w:rsidRPr="005E425D">
        <w:rPr>
          <w:bCs/>
          <w:szCs w:val="28"/>
        </w:rPr>
        <w:t xml:space="preserve"> не пов’язана із заподіянням чи незаподіянням великої чи значної матеріальної шкоди </w:t>
      </w:r>
      <w:r>
        <w:rPr>
          <w:bCs/>
          <w:szCs w:val="28"/>
        </w:rPr>
        <w:t xml:space="preserve">(частина друга статті 289 Кодексу). Отже, у випадку повторного вчинення злочину, </w:t>
      </w:r>
      <w:r w:rsidRPr="00296038">
        <w:rPr>
          <w:bCs/>
          <w:szCs w:val="28"/>
        </w:rPr>
        <w:t>передбаченого частиною п</w:t>
      </w:r>
      <w:r>
        <w:rPr>
          <w:bCs/>
          <w:szCs w:val="28"/>
        </w:rPr>
        <w:t>ершою статті 289 Кримінального кодексу України (навіть у випадку знайдення транспортного засобу і повернення його</w:t>
      </w:r>
      <w:r w:rsidRPr="00CE1509">
        <w:rPr>
          <w:bCs/>
          <w:szCs w:val="28"/>
        </w:rPr>
        <w:t xml:space="preserve"> </w:t>
      </w:r>
      <w:r>
        <w:rPr>
          <w:bCs/>
          <w:szCs w:val="28"/>
        </w:rPr>
        <w:t xml:space="preserve">в належному стані власнику), винна особа буде нести кримінальну відповідальність за злочин, передбачений </w:t>
      </w:r>
      <w:r w:rsidRPr="005E425D">
        <w:rPr>
          <w:bCs/>
          <w:szCs w:val="28"/>
        </w:rPr>
        <w:t>частиною другою</w:t>
      </w:r>
      <w:r>
        <w:rPr>
          <w:bCs/>
          <w:szCs w:val="28"/>
        </w:rPr>
        <w:t xml:space="preserve"> цієї ж статті Кримінального кодексу України. </w:t>
      </w:r>
    </w:p>
    <w:p w:rsidR="00880CFF" w:rsidRDefault="00880CFF" w:rsidP="00CE1509">
      <w:pPr>
        <w:tabs>
          <w:tab w:val="left" w:pos="851"/>
        </w:tabs>
        <w:rPr>
          <w:bCs/>
          <w:szCs w:val="28"/>
        </w:rPr>
      </w:pPr>
      <w:r>
        <w:rPr>
          <w:bCs/>
          <w:szCs w:val="28"/>
        </w:rPr>
        <w:t xml:space="preserve">Крім того, відповідно до пункту 2 примітки до статті 289 Кримінального кодексу України </w:t>
      </w:r>
      <w:r w:rsidRPr="005E425D">
        <w:rPr>
          <w:bCs/>
          <w:szCs w:val="28"/>
        </w:rPr>
        <w:t>під повторністю</w:t>
      </w:r>
      <w:r w:rsidRPr="000B233C">
        <w:rPr>
          <w:bCs/>
          <w:szCs w:val="28"/>
        </w:rPr>
        <w:t xml:space="preserve"> </w:t>
      </w:r>
      <w:r>
        <w:rPr>
          <w:bCs/>
          <w:szCs w:val="28"/>
        </w:rPr>
        <w:t xml:space="preserve">у цій статті </w:t>
      </w:r>
      <w:r w:rsidRPr="000B233C">
        <w:rPr>
          <w:bCs/>
          <w:szCs w:val="28"/>
        </w:rPr>
        <w:t xml:space="preserve">слід розуміти вчинення таких дій особою, яка раніше вчинила </w:t>
      </w:r>
      <w:r>
        <w:rPr>
          <w:bCs/>
          <w:szCs w:val="28"/>
        </w:rPr>
        <w:t xml:space="preserve">не тільки </w:t>
      </w:r>
      <w:r w:rsidRPr="000B233C">
        <w:rPr>
          <w:bCs/>
          <w:szCs w:val="28"/>
        </w:rPr>
        <w:t>незаконне заволодіння транспортним засобом</w:t>
      </w:r>
      <w:r>
        <w:rPr>
          <w:bCs/>
          <w:szCs w:val="28"/>
        </w:rPr>
        <w:t>, відповідальність за яке передбачена у цій статті, але й злочинів, передбачених</w:t>
      </w:r>
      <w:r w:rsidRPr="000B233C">
        <w:rPr>
          <w:bCs/>
          <w:szCs w:val="28"/>
        </w:rPr>
        <w:t xml:space="preserve"> статтями 185, 186, 187, 189-191, 262, 410 цього Кодексу</w:t>
      </w:r>
      <w:r>
        <w:rPr>
          <w:bCs/>
          <w:szCs w:val="28"/>
        </w:rPr>
        <w:t>.</w:t>
      </w:r>
    </w:p>
    <w:p w:rsidR="00880CFF" w:rsidRDefault="00880CFF" w:rsidP="00CE1509">
      <w:pPr>
        <w:tabs>
          <w:tab w:val="left" w:pos="851"/>
        </w:tabs>
        <w:rPr>
          <w:sz w:val="24"/>
        </w:rPr>
      </w:pPr>
    </w:p>
    <w:p w:rsidR="00880CFF" w:rsidRDefault="00880CFF" w:rsidP="00426E01">
      <w:pPr>
        <w:ind w:firstLine="708"/>
        <w:rPr>
          <w:szCs w:val="28"/>
        </w:rPr>
      </w:pPr>
      <w:r w:rsidRPr="003206B8">
        <w:rPr>
          <w:szCs w:val="28"/>
        </w:rPr>
        <w:t>Узагальнюючий висновок: за</w:t>
      </w:r>
      <w:r>
        <w:rPr>
          <w:szCs w:val="28"/>
        </w:rPr>
        <w:t>конопроект може бути прийнятий у</w:t>
      </w:r>
      <w:r w:rsidRPr="003206B8">
        <w:rPr>
          <w:szCs w:val="28"/>
        </w:rPr>
        <w:t xml:space="preserve"> другому читанні за умови врахування висловлених зауважень.</w:t>
      </w:r>
    </w:p>
    <w:p w:rsidR="00880CFF" w:rsidRDefault="00880CFF" w:rsidP="00426E01">
      <w:pPr>
        <w:ind w:firstLine="708"/>
        <w:rPr>
          <w:szCs w:val="28"/>
        </w:rPr>
      </w:pPr>
    </w:p>
    <w:p w:rsidR="00880CFF" w:rsidRPr="003206B8" w:rsidRDefault="00880CFF" w:rsidP="00426E01">
      <w:pPr>
        <w:ind w:firstLine="708"/>
        <w:rPr>
          <w:szCs w:val="28"/>
        </w:rPr>
      </w:pPr>
    </w:p>
    <w:p w:rsidR="00880CFF" w:rsidRPr="003206B8" w:rsidRDefault="00880CFF" w:rsidP="006D22C1">
      <w:pPr>
        <w:ind w:firstLine="0"/>
        <w:rPr>
          <w:szCs w:val="28"/>
        </w:rPr>
      </w:pPr>
    </w:p>
    <w:p w:rsidR="00880CFF" w:rsidRPr="00FE0C8B" w:rsidRDefault="00880CFF" w:rsidP="006D22C1">
      <w:pPr>
        <w:ind w:left="708" w:firstLine="0"/>
        <w:rPr>
          <w:szCs w:val="28"/>
        </w:rPr>
      </w:pPr>
      <w:r w:rsidRPr="00FE0C8B">
        <w:rPr>
          <w:szCs w:val="28"/>
        </w:rPr>
        <w:t xml:space="preserve">Перший заступник </w:t>
      </w:r>
    </w:p>
    <w:p w:rsidR="00880CFF" w:rsidRPr="00FE0C8B" w:rsidRDefault="00880CFF" w:rsidP="006D22C1">
      <w:pPr>
        <w:ind w:firstLine="0"/>
        <w:rPr>
          <w:szCs w:val="28"/>
        </w:rPr>
      </w:pPr>
      <w:r w:rsidRPr="00FE0C8B">
        <w:rPr>
          <w:szCs w:val="28"/>
        </w:rPr>
        <w:t>керівника Головного управління                                                  А.НИЖНИК</w:t>
      </w:r>
    </w:p>
    <w:p w:rsidR="00880CFF" w:rsidRPr="003206B8" w:rsidRDefault="00880CFF" w:rsidP="006D22C1">
      <w:pPr>
        <w:ind w:firstLine="0"/>
        <w:jc w:val="center"/>
        <w:rPr>
          <w:b/>
          <w:szCs w:val="28"/>
        </w:rPr>
      </w:pPr>
    </w:p>
    <w:p w:rsidR="00880CFF" w:rsidRDefault="00880CFF" w:rsidP="006D22C1">
      <w:pPr>
        <w:ind w:firstLine="0"/>
      </w:pPr>
    </w:p>
    <w:sectPr w:rsidR="00880CFF" w:rsidSect="00E9506B">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Segoe UI">
    <w:altName w:val="Century Gothic"/>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E1509"/>
    <w:rsid w:val="00020F71"/>
    <w:rsid w:val="00094D6C"/>
    <w:rsid w:val="000B233C"/>
    <w:rsid w:val="001859DC"/>
    <w:rsid w:val="002337FF"/>
    <w:rsid w:val="002379E9"/>
    <w:rsid w:val="00272545"/>
    <w:rsid w:val="002935C4"/>
    <w:rsid w:val="00296038"/>
    <w:rsid w:val="002B77FE"/>
    <w:rsid w:val="0031337E"/>
    <w:rsid w:val="003206B8"/>
    <w:rsid w:val="00333F4D"/>
    <w:rsid w:val="003B3466"/>
    <w:rsid w:val="00426E01"/>
    <w:rsid w:val="00476C75"/>
    <w:rsid w:val="00486F3B"/>
    <w:rsid w:val="004A1B6F"/>
    <w:rsid w:val="004C3ED3"/>
    <w:rsid w:val="004D63BC"/>
    <w:rsid w:val="005204CF"/>
    <w:rsid w:val="00565B75"/>
    <w:rsid w:val="005723D0"/>
    <w:rsid w:val="00573D17"/>
    <w:rsid w:val="005E425D"/>
    <w:rsid w:val="005F644C"/>
    <w:rsid w:val="00667FCA"/>
    <w:rsid w:val="00686684"/>
    <w:rsid w:val="006D22C1"/>
    <w:rsid w:val="006F7E83"/>
    <w:rsid w:val="007556CA"/>
    <w:rsid w:val="00825876"/>
    <w:rsid w:val="008425D5"/>
    <w:rsid w:val="008667A0"/>
    <w:rsid w:val="00880CFF"/>
    <w:rsid w:val="008A560F"/>
    <w:rsid w:val="008C1CBB"/>
    <w:rsid w:val="008F320C"/>
    <w:rsid w:val="00943CA7"/>
    <w:rsid w:val="00961441"/>
    <w:rsid w:val="00963254"/>
    <w:rsid w:val="009F7ED0"/>
    <w:rsid w:val="00A709EE"/>
    <w:rsid w:val="00A70DAA"/>
    <w:rsid w:val="00B63A2F"/>
    <w:rsid w:val="00C16AA3"/>
    <w:rsid w:val="00C27D2B"/>
    <w:rsid w:val="00C45E90"/>
    <w:rsid w:val="00C706B9"/>
    <w:rsid w:val="00C729F0"/>
    <w:rsid w:val="00C8543C"/>
    <w:rsid w:val="00CC7089"/>
    <w:rsid w:val="00CE1509"/>
    <w:rsid w:val="00D150C3"/>
    <w:rsid w:val="00D554C0"/>
    <w:rsid w:val="00D817A1"/>
    <w:rsid w:val="00DB020E"/>
    <w:rsid w:val="00DC1B10"/>
    <w:rsid w:val="00E22B7B"/>
    <w:rsid w:val="00E5270F"/>
    <w:rsid w:val="00E84055"/>
    <w:rsid w:val="00E9506B"/>
    <w:rsid w:val="00EC0A61"/>
    <w:rsid w:val="00EF190F"/>
    <w:rsid w:val="00F54B3D"/>
    <w:rsid w:val="00F65916"/>
    <w:rsid w:val="00F87F38"/>
    <w:rsid w:val="00FE0C8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1509"/>
    <w:pPr>
      <w:ind w:firstLine="709"/>
      <w:jc w:val="both"/>
    </w:pPr>
    <w:rPr>
      <w:rFonts w:eastAsia="Times New Roman"/>
      <w:sz w:val="28"/>
      <w:szCs w:val="24"/>
      <w:lang w:val="uk-UA"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859DC"/>
    <w:pPr>
      <w:ind w:left="720"/>
      <w:contextualSpacing/>
    </w:pPr>
  </w:style>
  <w:style w:type="character" w:customStyle="1" w:styleId="rvts0">
    <w:name w:val="rvts0"/>
    <w:basedOn w:val="DefaultParagraphFont"/>
    <w:uiPriority w:val="99"/>
    <w:rsid w:val="00476C75"/>
    <w:rPr>
      <w:rFonts w:cs="Times New Roman"/>
    </w:rPr>
  </w:style>
  <w:style w:type="paragraph" w:styleId="BalloonText">
    <w:name w:val="Balloon Text"/>
    <w:basedOn w:val="Normal"/>
    <w:link w:val="BalloonTextChar"/>
    <w:uiPriority w:val="99"/>
    <w:semiHidden/>
    <w:rsid w:val="00F54B3D"/>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F54B3D"/>
    <w:rPr>
      <w:rFonts w:ascii="Segoe UI"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1424</Words>
  <Characters>8123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Гонтар Алла Іванівна</dc:creator>
  <cp:keywords/>
  <dc:description/>
  <cp:lastModifiedBy>OSCE</cp:lastModifiedBy>
  <cp:revision>3</cp:revision>
  <cp:lastPrinted>2018-12-03T10:20:00Z</cp:lastPrinted>
  <dcterms:created xsi:type="dcterms:W3CDTF">2018-12-03T12:20:00Z</dcterms:created>
  <dcterms:modified xsi:type="dcterms:W3CDTF">2018-12-03T13:43:00Z</dcterms:modified>
</cp:coreProperties>
</file>