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3B9" w:rsidRPr="006B79C0" w:rsidRDefault="00BE13B9" w:rsidP="00BE13B9">
      <w:pPr>
        <w:pStyle w:val="3"/>
        <w:tabs>
          <w:tab w:val="left" w:pos="720"/>
        </w:tabs>
        <w:ind w:left="-567"/>
        <w:jc w:val="right"/>
        <w:rPr>
          <w:b w:val="0"/>
          <w:i w:val="0"/>
          <w:sz w:val="28"/>
          <w:szCs w:val="28"/>
        </w:rPr>
      </w:pPr>
    </w:p>
    <w:p w:rsidR="00BE13B9" w:rsidRPr="001D2023" w:rsidRDefault="00BE13B9" w:rsidP="00BE13B9">
      <w:pPr>
        <w:pStyle w:val="3"/>
        <w:tabs>
          <w:tab w:val="left" w:pos="720"/>
          <w:tab w:val="left" w:pos="8085"/>
        </w:tabs>
        <w:jc w:val="left"/>
        <w:rPr>
          <w:b w:val="0"/>
          <w:i w:val="0"/>
          <w:sz w:val="26"/>
          <w:szCs w:val="26"/>
          <w:lang w:val="ru-RU"/>
        </w:rPr>
      </w:pPr>
      <w:r>
        <w:rPr>
          <w:b w:val="0"/>
          <w:i w:val="0"/>
          <w:sz w:val="26"/>
          <w:szCs w:val="26"/>
        </w:rPr>
        <w:tab/>
        <w:t xml:space="preserve">                                                                                          </w:t>
      </w:r>
      <w:r w:rsidRPr="005E5DF0">
        <w:rPr>
          <w:b w:val="0"/>
          <w:i w:val="0"/>
          <w:sz w:val="26"/>
          <w:szCs w:val="26"/>
        </w:rPr>
        <w:t>До реєстр. № 8</w:t>
      </w:r>
      <w:r w:rsidRPr="001D2023">
        <w:rPr>
          <w:b w:val="0"/>
          <w:i w:val="0"/>
          <w:sz w:val="26"/>
          <w:szCs w:val="26"/>
          <w:lang w:val="ru-RU"/>
        </w:rPr>
        <w:t>220</w:t>
      </w:r>
    </w:p>
    <w:p w:rsidR="00BE13B9" w:rsidRPr="00097837" w:rsidRDefault="00BE13B9" w:rsidP="00BE13B9">
      <w:pPr>
        <w:tabs>
          <w:tab w:val="left" w:pos="6930"/>
        </w:tabs>
      </w:pPr>
      <w:r>
        <w:rPr>
          <w:sz w:val="26"/>
          <w:szCs w:val="26"/>
        </w:rPr>
        <w:t xml:space="preserve">                                                                                                     </w:t>
      </w:r>
      <w:r w:rsidRPr="005E5DF0">
        <w:rPr>
          <w:sz w:val="26"/>
          <w:szCs w:val="26"/>
        </w:rPr>
        <w:t xml:space="preserve">від </w:t>
      </w:r>
      <w:r w:rsidRPr="001D2023">
        <w:rPr>
          <w:sz w:val="26"/>
          <w:szCs w:val="26"/>
          <w:lang w:val="ru-RU"/>
        </w:rPr>
        <w:t xml:space="preserve">3 </w:t>
      </w:r>
      <w:r>
        <w:rPr>
          <w:sz w:val="26"/>
          <w:szCs w:val="26"/>
        </w:rPr>
        <w:t>квітня</w:t>
      </w:r>
      <w:r w:rsidRPr="005E5DF0">
        <w:rPr>
          <w:sz w:val="26"/>
          <w:szCs w:val="26"/>
        </w:rPr>
        <w:t xml:space="preserve"> 2018</w:t>
      </w:r>
      <w:r>
        <w:t xml:space="preserve"> року</w:t>
      </w:r>
    </w:p>
    <w:p w:rsidR="00BE13B9" w:rsidRDefault="00BE13B9" w:rsidP="00BE13B9">
      <w:pPr>
        <w:pStyle w:val="3"/>
        <w:tabs>
          <w:tab w:val="left" w:pos="720"/>
        </w:tabs>
        <w:ind w:left="-567"/>
        <w:rPr>
          <w:i w:val="0"/>
          <w:sz w:val="28"/>
          <w:szCs w:val="28"/>
        </w:rPr>
      </w:pPr>
    </w:p>
    <w:p w:rsidR="00BE13B9" w:rsidRPr="001D2023" w:rsidRDefault="00BE13B9" w:rsidP="00BE13B9"/>
    <w:p w:rsidR="00BE13B9" w:rsidRPr="006B79C0" w:rsidRDefault="00BE13B9" w:rsidP="00BE13B9">
      <w:pPr>
        <w:pStyle w:val="3"/>
        <w:tabs>
          <w:tab w:val="left" w:pos="720"/>
        </w:tabs>
        <w:ind w:left="-567"/>
        <w:rPr>
          <w:i w:val="0"/>
          <w:sz w:val="28"/>
          <w:szCs w:val="28"/>
        </w:rPr>
      </w:pPr>
    </w:p>
    <w:p w:rsidR="00BE13B9" w:rsidRPr="006B79C0" w:rsidRDefault="00BE13B9" w:rsidP="00BE13B9">
      <w:pPr>
        <w:pStyle w:val="3"/>
        <w:tabs>
          <w:tab w:val="left" w:pos="720"/>
        </w:tabs>
        <w:rPr>
          <w:i w:val="0"/>
          <w:sz w:val="28"/>
          <w:szCs w:val="28"/>
        </w:rPr>
      </w:pPr>
      <w:r w:rsidRPr="006B79C0">
        <w:rPr>
          <w:i w:val="0"/>
          <w:sz w:val="28"/>
          <w:szCs w:val="28"/>
        </w:rPr>
        <w:t>ВИСНОВОК</w:t>
      </w:r>
    </w:p>
    <w:p w:rsidR="00BE13B9" w:rsidRPr="006B79C0" w:rsidRDefault="00BE13B9" w:rsidP="00BE13B9">
      <w:pPr>
        <w:rPr>
          <w:sz w:val="28"/>
          <w:szCs w:val="28"/>
        </w:rPr>
      </w:pPr>
    </w:p>
    <w:p w:rsidR="00BE13B9" w:rsidRPr="006B79C0" w:rsidRDefault="00BE13B9" w:rsidP="00BE13B9">
      <w:pPr>
        <w:pStyle w:val="3"/>
        <w:rPr>
          <w:bCs/>
          <w:i w:val="0"/>
          <w:sz w:val="28"/>
          <w:szCs w:val="28"/>
        </w:rPr>
      </w:pPr>
      <w:r w:rsidRPr="006B79C0">
        <w:rPr>
          <w:bCs/>
          <w:i w:val="0"/>
          <w:sz w:val="28"/>
          <w:szCs w:val="28"/>
        </w:rPr>
        <w:t xml:space="preserve">Комітету Верховної Ради України </w:t>
      </w:r>
    </w:p>
    <w:p w:rsidR="00BE13B9" w:rsidRPr="006B79C0" w:rsidRDefault="00BE13B9" w:rsidP="00BE13B9">
      <w:pPr>
        <w:pStyle w:val="3"/>
        <w:rPr>
          <w:bCs/>
          <w:i w:val="0"/>
          <w:sz w:val="28"/>
          <w:szCs w:val="28"/>
        </w:rPr>
      </w:pPr>
      <w:r w:rsidRPr="006B79C0">
        <w:rPr>
          <w:bCs/>
          <w:i w:val="0"/>
          <w:sz w:val="28"/>
          <w:szCs w:val="28"/>
        </w:rPr>
        <w:t>з питань правової політики та правосуддя</w:t>
      </w:r>
    </w:p>
    <w:p w:rsidR="00BE13B9" w:rsidRPr="006B79C0" w:rsidRDefault="00BE13B9" w:rsidP="00BE13B9">
      <w:pPr>
        <w:pStyle w:val="a3"/>
        <w:ind w:firstLine="0"/>
        <w:rPr>
          <w:b/>
          <w:szCs w:val="28"/>
        </w:rPr>
      </w:pPr>
    </w:p>
    <w:p w:rsidR="00BE13B9" w:rsidRDefault="00BE13B9" w:rsidP="00BE13B9">
      <w:pPr>
        <w:pStyle w:val="a8"/>
        <w:rPr>
          <w:bCs w:val="0"/>
          <w:sz w:val="28"/>
          <w:szCs w:val="28"/>
        </w:rPr>
      </w:pPr>
      <w:r w:rsidRPr="006B79C0">
        <w:rPr>
          <w:sz w:val="28"/>
          <w:szCs w:val="28"/>
        </w:rPr>
        <w:t xml:space="preserve">щодо проекту Постанови </w:t>
      </w:r>
      <w:r>
        <w:rPr>
          <w:bCs w:val="0"/>
          <w:sz w:val="28"/>
          <w:szCs w:val="28"/>
        </w:rPr>
        <w:t>п</w:t>
      </w:r>
      <w:r w:rsidRPr="006B79C0">
        <w:rPr>
          <w:sz w:val="28"/>
          <w:szCs w:val="28"/>
        </w:rPr>
        <w:t xml:space="preserve">ро </w:t>
      </w:r>
      <w:r w:rsidRPr="006B79C0">
        <w:rPr>
          <w:bCs w:val="0"/>
          <w:sz w:val="28"/>
          <w:szCs w:val="28"/>
        </w:rPr>
        <w:t xml:space="preserve">вжиття заходів щодо утворення </w:t>
      </w:r>
    </w:p>
    <w:p w:rsidR="00BE13B9" w:rsidRPr="006B79C0" w:rsidRDefault="00BE13B9" w:rsidP="00BE13B9">
      <w:pPr>
        <w:pStyle w:val="a8"/>
        <w:rPr>
          <w:b w:val="0"/>
          <w:i/>
          <w:sz w:val="28"/>
          <w:szCs w:val="28"/>
        </w:rPr>
      </w:pPr>
      <w:r w:rsidRPr="006B79C0">
        <w:rPr>
          <w:bCs w:val="0"/>
          <w:sz w:val="28"/>
          <w:szCs w:val="28"/>
        </w:rPr>
        <w:t>Міністерства промислової політики та інвестицій України</w:t>
      </w:r>
      <w:r w:rsidRPr="006B79C0">
        <w:rPr>
          <w:sz w:val="28"/>
          <w:szCs w:val="28"/>
        </w:rPr>
        <w:t xml:space="preserve"> </w:t>
      </w:r>
    </w:p>
    <w:p w:rsidR="00BE13B9" w:rsidRPr="006B79C0" w:rsidRDefault="00BE13B9" w:rsidP="00BE13B9">
      <w:pPr>
        <w:jc w:val="center"/>
        <w:rPr>
          <w:b/>
          <w:sz w:val="28"/>
          <w:szCs w:val="28"/>
        </w:rPr>
      </w:pPr>
      <w:r w:rsidRPr="006B79C0">
        <w:rPr>
          <w:b/>
          <w:sz w:val="28"/>
          <w:szCs w:val="28"/>
        </w:rPr>
        <w:t>(реєстр. № 8220 від 3 квітня 2018 року)</w:t>
      </w:r>
    </w:p>
    <w:p w:rsidR="00BE13B9" w:rsidRPr="006B79C0" w:rsidRDefault="00BE13B9" w:rsidP="00BE13B9">
      <w:pPr>
        <w:ind w:left="-567"/>
        <w:rPr>
          <w:sz w:val="28"/>
          <w:szCs w:val="28"/>
        </w:rPr>
      </w:pPr>
    </w:p>
    <w:p w:rsidR="00BE13B9" w:rsidRPr="006B79C0" w:rsidRDefault="00BE13B9" w:rsidP="00BE13B9">
      <w:pPr>
        <w:ind w:firstLine="709"/>
        <w:jc w:val="both"/>
        <w:rPr>
          <w:sz w:val="28"/>
          <w:szCs w:val="28"/>
        </w:rPr>
      </w:pPr>
      <w:r w:rsidRPr="006B79C0">
        <w:rPr>
          <w:sz w:val="28"/>
          <w:szCs w:val="28"/>
        </w:rPr>
        <w:t xml:space="preserve">Комітет Верховної Ради України з питань правової політики </w:t>
      </w:r>
      <w:r w:rsidRPr="006B79C0">
        <w:rPr>
          <w:bCs/>
          <w:sz w:val="28"/>
          <w:szCs w:val="28"/>
        </w:rPr>
        <w:t>та правосуддя</w:t>
      </w:r>
      <w:r w:rsidRPr="006B79C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своєму засіданні 17 січня 2019 року (протокол № 76) </w:t>
      </w:r>
      <w:r w:rsidRPr="006B79C0">
        <w:rPr>
          <w:sz w:val="28"/>
          <w:szCs w:val="28"/>
        </w:rPr>
        <w:t xml:space="preserve">розглянув на відповідність Конституції України проект </w:t>
      </w:r>
      <w:r>
        <w:rPr>
          <w:sz w:val="28"/>
          <w:szCs w:val="28"/>
        </w:rPr>
        <w:t>П</w:t>
      </w:r>
      <w:r w:rsidRPr="006B79C0">
        <w:rPr>
          <w:sz w:val="28"/>
          <w:szCs w:val="28"/>
        </w:rPr>
        <w:t xml:space="preserve">останови про вжиття заходів щодо утворення Міністерства промислової політики та інвестицій України (реєстр. № 8220 від 3 квітня 2018 року), поданий народними депутатами України </w:t>
      </w:r>
      <w:r>
        <w:rPr>
          <w:sz w:val="28"/>
          <w:szCs w:val="28"/>
        </w:rPr>
        <w:t>Бондарем В.В. та Остапчуком В.М.</w:t>
      </w:r>
    </w:p>
    <w:p w:rsidR="00BE13B9" w:rsidRPr="006B79C0" w:rsidRDefault="00BE13B9" w:rsidP="00BE13B9">
      <w:pPr>
        <w:ind w:firstLine="720"/>
        <w:jc w:val="both"/>
        <w:rPr>
          <w:sz w:val="28"/>
          <w:szCs w:val="28"/>
        </w:rPr>
      </w:pPr>
      <w:r w:rsidRPr="006B79C0">
        <w:rPr>
          <w:sz w:val="28"/>
          <w:szCs w:val="28"/>
        </w:rPr>
        <w:t>Згідно з пояснювальною запискою, метою прийняття проекту Постанови є напрацювання у ході його розгляду та доведення до Кабінету Міністрів України у разі прийняття консолідованої позиції Верховної Ради України щодо необхідності функціонування у системі центральних органів виконавчої влади Міністерства промислової політики та інвестицій України, як головного органу, котрий забезпечує формування та реалізації державної промислової політики та політики щодо інвестиційної діяльності у галузях промисловості України.</w:t>
      </w:r>
    </w:p>
    <w:p w:rsidR="00BE13B9" w:rsidRPr="006B79C0" w:rsidRDefault="00BE13B9" w:rsidP="00BE13B9">
      <w:pPr>
        <w:ind w:firstLine="709"/>
        <w:jc w:val="both"/>
        <w:rPr>
          <w:sz w:val="28"/>
          <w:szCs w:val="28"/>
        </w:rPr>
      </w:pPr>
      <w:r w:rsidRPr="006B79C0">
        <w:rPr>
          <w:sz w:val="28"/>
          <w:szCs w:val="28"/>
        </w:rPr>
        <w:t>Проект Постанови містить положення рекомендаційного характеру для Кабінету Міністрів України щодо необхідності утворення Міністерства промислової політики та інвестицій України з визначенням, у загальних рисах, сфери його відповідальності, як центрального органу виконавчої влади, діяльність якого спрямовується і координується Кабінетом Міністрів України.</w:t>
      </w:r>
    </w:p>
    <w:p w:rsidR="00BE13B9" w:rsidRPr="006B79C0" w:rsidRDefault="00BE13B9" w:rsidP="00BE13B9">
      <w:pPr>
        <w:ind w:firstLine="709"/>
        <w:jc w:val="both"/>
        <w:rPr>
          <w:sz w:val="28"/>
          <w:szCs w:val="28"/>
          <w:lang w:eastAsia="uk-UA"/>
        </w:rPr>
      </w:pPr>
    </w:p>
    <w:p w:rsidR="00BE13B9" w:rsidRPr="006B79C0" w:rsidRDefault="00BE13B9" w:rsidP="00BE13B9">
      <w:pPr>
        <w:ind w:firstLine="709"/>
        <w:jc w:val="both"/>
        <w:rPr>
          <w:sz w:val="28"/>
          <w:szCs w:val="28"/>
          <w:lang w:eastAsia="uk-UA"/>
        </w:rPr>
      </w:pPr>
      <w:r w:rsidRPr="006B79C0">
        <w:rPr>
          <w:sz w:val="28"/>
          <w:szCs w:val="28"/>
          <w:lang w:eastAsia="uk-UA"/>
        </w:rPr>
        <w:t>Вирішуючи питання про відповідність проекту Постанови положенням Конституції України, Комітет виходить з такого.</w:t>
      </w:r>
    </w:p>
    <w:p w:rsidR="00BE13B9" w:rsidRDefault="00BE13B9" w:rsidP="00BE13B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6B79C0">
        <w:rPr>
          <w:sz w:val="28"/>
          <w:szCs w:val="28"/>
        </w:rPr>
        <w:t xml:space="preserve"> Основному Законі України визначається, що Україна є правовою державою (стаття 1), закони та інші нормативно-правові акти приймаються на основі Конституції України і повинні відповідати їй (частина друга статті 8).</w:t>
      </w:r>
    </w:p>
    <w:p w:rsidR="00BE13B9" w:rsidRDefault="00BE13B9" w:rsidP="00BE13B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4715D">
        <w:rPr>
          <w:sz w:val="28"/>
          <w:szCs w:val="28"/>
        </w:rPr>
        <w:t>Державна влада в Україні здійснюється на засадах її поділу на законодавчу, виконавчу та судову.</w:t>
      </w:r>
      <w:bookmarkStart w:id="0" w:name="n4189"/>
      <w:bookmarkEnd w:id="0"/>
      <w:r>
        <w:rPr>
          <w:sz w:val="28"/>
          <w:szCs w:val="28"/>
        </w:rPr>
        <w:t xml:space="preserve"> </w:t>
      </w:r>
      <w:r w:rsidRPr="00D4715D">
        <w:rPr>
          <w:sz w:val="28"/>
          <w:szCs w:val="28"/>
        </w:rPr>
        <w:t>Органи законодавчої, виконавчої та судової влади здійснюють свої повноваження у встановлених цією Конституцією межах і відповідно до законів України</w:t>
      </w:r>
      <w:r>
        <w:rPr>
          <w:sz w:val="28"/>
          <w:szCs w:val="28"/>
        </w:rPr>
        <w:t xml:space="preserve"> (стаття 6 Основного Закону України)</w:t>
      </w:r>
      <w:r w:rsidRPr="00D4715D">
        <w:rPr>
          <w:sz w:val="28"/>
          <w:szCs w:val="28"/>
        </w:rPr>
        <w:t>.</w:t>
      </w:r>
    </w:p>
    <w:p w:rsidR="00BE13B9" w:rsidRPr="00901BE0" w:rsidRDefault="00BE13B9" w:rsidP="00BE13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8"/>
          <w:szCs w:val="28"/>
        </w:rPr>
      </w:pPr>
      <w:r w:rsidRPr="00901BE0">
        <w:rPr>
          <w:sz w:val="28"/>
          <w:szCs w:val="28"/>
        </w:rPr>
        <w:t xml:space="preserve">У Рішенні Конституційного Суду України від 24 червня 1999 року№ 6-рп/99 зазначено, що метою функціонального поділу державної влади на законодавчу, </w:t>
      </w:r>
      <w:r w:rsidRPr="00901BE0">
        <w:rPr>
          <w:sz w:val="28"/>
          <w:szCs w:val="28"/>
        </w:rPr>
        <w:lastRenderedPageBreak/>
        <w:t>виконавчу та судову є розмежування повноважень між різними органами державної влади та недопущення привласнення повноти державної влади однією з гілок влади (абзац перший пункту 2 мотивувальної частини).</w:t>
      </w:r>
    </w:p>
    <w:p w:rsidR="00BE13B9" w:rsidRPr="006B79C0" w:rsidRDefault="00BE13B9" w:rsidP="00BE13B9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6B79C0">
        <w:rPr>
          <w:sz w:val="28"/>
          <w:szCs w:val="28"/>
          <w:lang w:eastAsia="ar-SA"/>
        </w:rPr>
        <w:t xml:space="preserve">Відповідно до частини другої статті 19 Конституції України органи державної влади та органи місцевого самоврядування, їх посадові особи зобов’язані діяти лише на підставі, в межах повноважень та у спосіб, що передбачені Конституцією та законами України. </w:t>
      </w:r>
    </w:p>
    <w:p w:rsidR="00BE13B9" w:rsidRPr="006B79C0" w:rsidRDefault="00BE13B9" w:rsidP="00BE13B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B79C0">
        <w:rPr>
          <w:sz w:val="28"/>
          <w:szCs w:val="28"/>
        </w:rPr>
        <w:t>Згідно з Конституцією України держава забезпечує соціальну спрямованість економіки (частина четверта статті 13), що є основою для реалізації соціальних прав громадян, зокрема на соціальний захист та достатній життєвий рівень.</w:t>
      </w:r>
    </w:p>
    <w:p w:rsidR="00BE13B9" w:rsidRPr="006B79C0" w:rsidRDefault="00BE13B9" w:rsidP="00BE13B9">
      <w:pPr>
        <w:ind w:firstLine="709"/>
        <w:jc w:val="both"/>
        <w:rPr>
          <w:bCs/>
          <w:sz w:val="28"/>
          <w:szCs w:val="28"/>
        </w:rPr>
      </w:pPr>
      <w:r w:rsidRPr="006B79C0">
        <w:rPr>
          <w:bCs/>
          <w:sz w:val="28"/>
          <w:szCs w:val="28"/>
        </w:rPr>
        <w:t>Кабінет Міністрів України згідно з частиною першою статті 113, пунктами 1, 2, 9, 9</w:t>
      </w:r>
      <w:r w:rsidRPr="006B79C0">
        <w:rPr>
          <w:bCs/>
          <w:sz w:val="28"/>
          <w:szCs w:val="28"/>
          <w:vertAlign w:val="superscript"/>
        </w:rPr>
        <w:t>2</w:t>
      </w:r>
      <w:r w:rsidRPr="006B79C0">
        <w:rPr>
          <w:bCs/>
          <w:sz w:val="28"/>
          <w:szCs w:val="28"/>
        </w:rPr>
        <w:t xml:space="preserve">, 10 частини першої статті 116 Конституції України є вищим органом у системі органів виконавчої влади, що забезпечує здійснення внутрішньої політики, виконання Конституції і законів України, актів Президента України; вживає заходів щодо забезпечення прав і свобод людини і громадянина; спрямовує і координує роботу міністерств, інших органів виконавчої влади; призначає на посади та звільняє з посад за поданням Прем’єр-міністра України керівників центральних органів виконавчої влади, які не входять до складу Кабінету Міністрів України; здійснює інші повноваження, визначені Конституцією та законами України. </w:t>
      </w:r>
      <w:r w:rsidRPr="006B79C0">
        <w:rPr>
          <w:sz w:val="28"/>
          <w:szCs w:val="28"/>
        </w:rPr>
        <w:t xml:space="preserve">Крім того, </w:t>
      </w:r>
      <w:r w:rsidRPr="006B79C0">
        <w:rPr>
          <w:bCs/>
          <w:iCs/>
          <w:sz w:val="28"/>
          <w:szCs w:val="28"/>
        </w:rPr>
        <w:t>відповідно до частини другої статті 120 Конституції України, частини другої статті 4 Закону України «Про Кабінет Міністрів України» організація, повноваження і порядок діяльності Кабінету Міністрів України, інших центральних та місцевих органів виконавчої влади визначаються Конституцією та законами України.</w:t>
      </w:r>
    </w:p>
    <w:p w:rsidR="00BE13B9" w:rsidRPr="00BF0054" w:rsidRDefault="00BE13B9" w:rsidP="00BE13B9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6B79C0">
        <w:rPr>
          <w:sz w:val="28"/>
          <w:szCs w:val="28"/>
        </w:rPr>
        <w:t xml:space="preserve">Відповідно до пункту </w:t>
      </w:r>
      <w:r w:rsidRPr="006B79C0">
        <w:rPr>
          <w:color w:val="000000"/>
          <w:sz w:val="28"/>
          <w:szCs w:val="28"/>
          <w:shd w:val="clear" w:color="auto" w:fill="FFFFFF"/>
        </w:rPr>
        <w:t>9</w:t>
      </w:r>
      <w:r w:rsidRPr="00D4715D">
        <w:rPr>
          <w:rStyle w:val="rvts37"/>
          <w:bCs/>
          <w:color w:val="000000"/>
          <w:sz w:val="28"/>
          <w:szCs w:val="28"/>
          <w:bdr w:val="none" w:sz="0" w:space="0" w:color="auto" w:frame="1"/>
          <w:shd w:val="clear" w:color="auto" w:fill="FFFFFF"/>
          <w:vertAlign w:val="superscript"/>
        </w:rPr>
        <w:t>1</w:t>
      </w:r>
      <w:r w:rsidRPr="006B79C0">
        <w:rPr>
          <w:rStyle w:val="rvts37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vertAlign w:val="superscript"/>
        </w:rPr>
        <w:t xml:space="preserve"> </w:t>
      </w:r>
      <w:r w:rsidRPr="006B79C0">
        <w:rPr>
          <w:rStyle w:val="rvts37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ст</w:t>
      </w:r>
      <w:r>
        <w:rPr>
          <w:rStyle w:val="rvts37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атті</w:t>
      </w:r>
      <w:r w:rsidRPr="006B79C0">
        <w:rPr>
          <w:rStyle w:val="rvts37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116 </w:t>
      </w:r>
      <w:r>
        <w:rPr>
          <w:sz w:val="28"/>
          <w:szCs w:val="28"/>
        </w:rPr>
        <w:t>Конституції України</w:t>
      </w:r>
      <w:r w:rsidRPr="006B79C0">
        <w:rPr>
          <w:sz w:val="28"/>
          <w:szCs w:val="28"/>
        </w:rPr>
        <w:t xml:space="preserve">, Кабінет Міністрів України </w:t>
      </w:r>
      <w:r w:rsidRPr="006B79C0">
        <w:rPr>
          <w:bCs/>
          <w:iCs/>
          <w:sz w:val="28"/>
          <w:szCs w:val="28"/>
        </w:rPr>
        <w:t>утворює, реорганізовує та ліквідовує відповідно до закону міністерства та інші центральні органи виконавчої влади, діючи</w:t>
      </w:r>
      <w:r w:rsidRPr="006B79C0">
        <w:rPr>
          <w:sz w:val="28"/>
          <w:szCs w:val="28"/>
        </w:rPr>
        <w:t xml:space="preserve"> в межах коштів, </w:t>
      </w:r>
      <w:r w:rsidRPr="00BF0054">
        <w:rPr>
          <w:bCs/>
          <w:iCs/>
          <w:sz w:val="28"/>
          <w:szCs w:val="28"/>
        </w:rPr>
        <w:t>передбачених на утримання органів виконавчої влади.</w:t>
      </w:r>
    </w:p>
    <w:p w:rsidR="00BE13B9" w:rsidRPr="00BF0054" w:rsidRDefault="00BE13B9" w:rsidP="00BE13B9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F0054">
        <w:rPr>
          <w:bCs/>
          <w:iCs/>
          <w:sz w:val="28"/>
          <w:szCs w:val="28"/>
        </w:rPr>
        <w:t>Кабінет Міністрів України у своїй діяльності керується цією Конституцією та законами України, а також указами Президента України та постановами Верховної Ради України, прийнятими відповідно до Конституції та законів України (частина третя статті 113 Конституції України).</w:t>
      </w:r>
    </w:p>
    <w:p w:rsidR="00BE13B9" w:rsidRPr="006B79C0" w:rsidRDefault="00BE13B9" w:rsidP="00BE13B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B79C0">
        <w:rPr>
          <w:bCs/>
          <w:iCs/>
          <w:sz w:val="28"/>
          <w:szCs w:val="28"/>
        </w:rPr>
        <w:t>Частиною першою статті 85 Конституції</w:t>
      </w:r>
      <w:r w:rsidRPr="006B79C0">
        <w:rPr>
          <w:sz w:val="28"/>
          <w:szCs w:val="28"/>
        </w:rPr>
        <w:t xml:space="preserve"> України визначено перелік повноважень Верховної Ради України, частиною другою цієї ж статті передбачено, що парламент здійснює також інші повноваження, які відповідно до Конституції України віднесені до його відання.</w:t>
      </w:r>
    </w:p>
    <w:p w:rsidR="00BE13B9" w:rsidRPr="006B79C0" w:rsidRDefault="00BE13B9" w:rsidP="00BE13B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B79C0">
        <w:rPr>
          <w:sz w:val="28"/>
          <w:szCs w:val="28"/>
        </w:rPr>
        <w:t>Згідно зі статтею 91 Конституції України Верховна Рада України приймає закони, постанови та інші акти.</w:t>
      </w:r>
    </w:p>
    <w:p w:rsidR="00BE13B9" w:rsidRPr="006B79C0" w:rsidRDefault="00BE13B9" w:rsidP="00BE13B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B79C0">
        <w:rPr>
          <w:sz w:val="28"/>
          <w:szCs w:val="28"/>
        </w:rPr>
        <w:t xml:space="preserve">Відповідно до статті 46, частини другої статті 138 Закону України «Про Регламент Верховної Ради України» рішеннями Верховної Ради є акти Верховної Ради, а також процедурні та інші рішення, які заносяться до протоколу пленарних засідань Верховної Ради. Актами Верховної Ради є закони, постанови, резолюції, декларації, звернення, заяви. Постанови Верховної Ради приймаються з конкретних питань з метою здійснення її установчої, організаційної, </w:t>
      </w:r>
      <w:r w:rsidRPr="006B79C0">
        <w:rPr>
          <w:sz w:val="28"/>
          <w:szCs w:val="28"/>
        </w:rPr>
        <w:lastRenderedPageBreak/>
        <w:t>контрольної та інших функцій.</w:t>
      </w:r>
    </w:p>
    <w:p w:rsidR="00BE13B9" w:rsidRPr="006B79C0" w:rsidRDefault="00BE13B9" w:rsidP="00BE13B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B79C0">
        <w:rPr>
          <w:sz w:val="28"/>
          <w:szCs w:val="28"/>
        </w:rPr>
        <w:t>Зважаючи на зазначене, а також на те, що Верховна Рада України – єдиний орган законодавчої влади в Україні (стаття 75 Конституції України), проект Постанови узгоджується з нормами Основного Закону України.</w:t>
      </w:r>
    </w:p>
    <w:p w:rsidR="00BE13B9" w:rsidRPr="006B79C0" w:rsidRDefault="00BE13B9" w:rsidP="00BE13B9">
      <w:pPr>
        <w:ind w:firstLine="709"/>
        <w:jc w:val="both"/>
        <w:rPr>
          <w:sz w:val="28"/>
          <w:szCs w:val="28"/>
          <w:lang w:eastAsia="uk-UA"/>
        </w:rPr>
      </w:pPr>
    </w:p>
    <w:p w:rsidR="00BE13B9" w:rsidRPr="006B79C0" w:rsidRDefault="00BE13B9" w:rsidP="00BE13B9">
      <w:pPr>
        <w:ind w:firstLine="709"/>
        <w:jc w:val="both"/>
        <w:rPr>
          <w:sz w:val="28"/>
          <w:szCs w:val="28"/>
        </w:rPr>
      </w:pPr>
      <w:r w:rsidRPr="006B79C0">
        <w:rPr>
          <w:sz w:val="28"/>
          <w:szCs w:val="28"/>
          <w:lang w:eastAsia="uk-UA"/>
        </w:rPr>
        <w:t xml:space="preserve">Враховуючи викладене, Комітет дійшов висновку, що проект </w:t>
      </w:r>
      <w:r w:rsidRPr="006B79C0">
        <w:rPr>
          <w:sz w:val="28"/>
          <w:szCs w:val="28"/>
        </w:rPr>
        <w:t>Постанови про вжиття заходів щодо утворення Міністерства промислової політики та інвестицій України (реєстр. № 8220 від 3 квітня 2018</w:t>
      </w:r>
      <w:r>
        <w:rPr>
          <w:sz w:val="28"/>
          <w:szCs w:val="28"/>
        </w:rPr>
        <w:t> </w:t>
      </w:r>
      <w:r w:rsidRPr="006B79C0">
        <w:rPr>
          <w:sz w:val="28"/>
          <w:szCs w:val="28"/>
        </w:rPr>
        <w:t xml:space="preserve">року), поданий народними депутатами України Бондарем В.В. та Остапчуком В.М, не суперечить положенням Конституції України. </w:t>
      </w:r>
    </w:p>
    <w:p w:rsidR="00BE13B9" w:rsidRPr="006B79C0" w:rsidRDefault="00BE13B9" w:rsidP="00BE13B9">
      <w:pPr>
        <w:rPr>
          <w:sz w:val="28"/>
          <w:szCs w:val="28"/>
        </w:rPr>
      </w:pPr>
    </w:p>
    <w:p w:rsidR="00603B8D" w:rsidRDefault="00603B8D"/>
    <w:p w:rsidR="00D10641" w:rsidRDefault="00D10641"/>
    <w:p w:rsidR="00D10641" w:rsidRDefault="00D10641">
      <w:bookmarkStart w:id="1" w:name="_GoBack"/>
      <w:bookmarkEnd w:id="1"/>
    </w:p>
    <w:p w:rsidR="00D10641" w:rsidRPr="00D10641" w:rsidRDefault="00D10641" w:rsidP="00D10641">
      <w:pPr>
        <w:ind w:left="-567" w:firstLine="567"/>
        <w:jc w:val="both"/>
        <w:rPr>
          <w:sz w:val="28"/>
          <w:szCs w:val="28"/>
        </w:rPr>
      </w:pPr>
      <w:r w:rsidRPr="00D10641">
        <w:rPr>
          <w:b/>
          <w:sz w:val="28"/>
          <w:szCs w:val="28"/>
        </w:rPr>
        <w:t>Голова Комітету</w:t>
      </w:r>
      <w:r w:rsidRPr="00D10641">
        <w:rPr>
          <w:b/>
          <w:sz w:val="28"/>
          <w:szCs w:val="28"/>
        </w:rPr>
        <w:tab/>
      </w:r>
      <w:r w:rsidRPr="00D10641">
        <w:rPr>
          <w:b/>
          <w:sz w:val="28"/>
          <w:szCs w:val="28"/>
        </w:rPr>
        <w:tab/>
      </w:r>
      <w:r w:rsidRPr="00D10641">
        <w:rPr>
          <w:b/>
          <w:sz w:val="28"/>
          <w:szCs w:val="28"/>
        </w:rPr>
        <w:tab/>
      </w:r>
      <w:r w:rsidRPr="00D10641">
        <w:rPr>
          <w:b/>
          <w:sz w:val="28"/>
          <w:szCs w:val="28"/>
        </w:rPr>
        <w:tab/>
        <w:t xml:space="preserve">         </w:t>
      </w:r>
      <w:r w:rsidRPr="00D10641">
        <w:rPr>
          <w:b/>
          <w:sz w:val="28"/>
          <w:szCs w:val="28"/>
        </w:rPr>
        <w:tab/>
        <w:t xml:space="preserve">           </w:t>
      </w:r>
      <w:r>
        <w:rPr>
          <w:b/>
          <w:sz w:val="28"/>
          <w:szCs w:val="28"/>
        </w:rPr>
        <w:t xml:space="preserve">       </w:t>
      </w:r>
      <w:r w:rsidRPr="00D10641">
        <w:rPr>
          <w:b/>
          <w:sz w:val="28"/>
          <w:szCs w:val="28"/>
        </w:rPr>
        <w:t xml:space="preserve">        Р.П. КНЯЗЕВИЧ</w:t>
      </w:r>
    </w:p>
    <w:p w:rsidR="00D10641" w:rsidRDefault="00D10641"/>
    <w:sectPr w:rsidR="00D10641" w:rsidSect="0031412A">
      <w:footerReference w:type="even" r:id="rId6"/>
      <w:footerReference w:type="default" r:id="rId7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D10641">
      <w:r>
        <w:separator/>
      </w:r>
    </w:p>
  </w:endnote>
  <w:endnote w:type="continuationSeparator" w:id="0">
    <w:p w:rsidR="00000000" w:rsidRDefault="00D10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 Times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altName w:val="Tahoma"/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12A" w:rsidRDefault="00BE13B9" w:rsidP="0031412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1412A" w:rsidRDefault="00D10641" w:rsidP="0031412A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12A" w:rsidRDefault="00BE13B9" w:rsidP="0031412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D10641">
      <w:rPr>
        <w:rStyle w:val="a7"/>
        <w:noProof/>
      </w:rPr>
      <w:t>2</w:t>
    </w:r>
    <w:r>
      <w:rPr>
        <w:rStyle w:val="a7"/>
      </w:rPr>
      <w:fldChar w:fldCharType="end"/>
    </w:r>
  </w:p>
  <w:p w:rsidR="0031412A" w:rsidRDefault="00D10641" w:rsidP="0031412A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D10641">
      <w:r>
        <w:separator/>
      </w:r>
    </w:p>
  </w:footnote>
  <w:footnote w:type="continuationSeparator" w:id="0">
    <w:p w:rsidR="00000000" w:rsidRDefault="00D106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3B9"/>
    <w:rsid w:val="00603B8D"/>
    <w:rsid w:val="00BE13B9"/>
    <w:rsid w:val="00D10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9764D"/>
  <w15:chartTrackingRefBased/>
  <w15:docId w15:val="{627EDAD5-F5A8-4FB3-A308-4D1B74288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3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BE13B9"/>
    <w:pPr>
      <w:keepNext/>
      <w:jc w:val="center"/>
      <w:outlineLvl w:val="2"/>
    </w:pPr>
    <w:rPr>
      <w:rFonts w:eastAsia="Arial Unicode MS"/>
      <w:b/>
      <w:i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E13B9"/>
    <w:rPr>
      <w:rFonts w:ascii="Times New Roman" w:eastAsia="Arial Unicode MS" w:hAnsi="Times New Roman" w:cs="Times New Roman"/>
      <w:b/>
      <w:i/>
      <w:sz w:val="32"/>
      <w:szCs w:val="20"/>
      <w:lang w:eastAsia="ru-RU"/>
    </w:rPr>
  </w:style>
  <w:style w:type="paragraph" w:styleId="a3">
    <w:name w:val="Body Text Indent"/>
    <w:basedOn w:val="a"/>
    <w:link w:val="a4"/>
    <w:rsid w:val="00BE13B9"/>
    <w:pPr>
      <w:ind w:firstLine="720"/>
      <w:jc w:val="both"/>
    </w:pPr>
    <w:rPr>
      <w:sz w:val="28"/>
    </w:rPr>
  </w:style>
  <w:style w:type="character" w:customStyle="1" w:styleId="a4">
    <w:name w:val="Основний текст з відступом Знак"/>
    <w:basedOn w:val="a0"/>
    <w:link w:val="a3"/>
    <w:rsid w:val="00BE13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footer"/>
    <w:basedOn w:val="a"/>
    <w:link w:val="a6"/>
    <w:rsid w:val="00BE13B9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rsid w:val="00BE13B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BE13B9"/>
  </w:style>
  <w:style w:type="paragraph" w:styleId="a8">
    <w:name w:val="Title"/>
    <w:basedOn w:val="a"/>
    <w:link w:val="a9"/>
    <w:uiPriority w:val="10"/>
    <w:qFormat/>
    <w:rsid w:val="00BE13B9"/>
    <w:pPr>
      <w:jc w:val="center"/>
    </w:pPr>
    <w:rPr>
      <w:b/>
      <w:bCs/>
    </w:rPr>
  </w:style>
  <w:style w:type="character" w:customStyle="1" w:styleId="a9">
    <w:name w:val="Назва Знак"/>
    <w:basedOn w:val="a0"/>
    <w:link w:val="a8"/>
    <w:uiPriority w:val="10"/>
    <w:rsid w:val="00BE13B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rvts37">
    <w:name w:val="rvts37"/>
    <w:basedOn w:val="a0"/>
    <w:rsid w:val="00BE13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3930</Words>
  <Characters>2241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Горькавий Сергій Сергійович</dc:creator>
  <cp:keywords/>
  <dc:description/>
  <cp:lastModifiedBy>Горькавий Сергій Сергійович</cp:lastModifiedBy>
  <cp:revision>2</cp:revision>
  <dcterms:created xsi:type="dcterms:W3CDTF">2019-01-17T14:23:00Z</dcterms:created>
  <dcterms:modified xsi:type="dcterms:W3CDTF">2019-01-17T14:28:00Z</dcterms:modified>
</cp:coreProperties>
</file>