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65EE" w:rsidRPr="001278A0" w:rsidRDefault="007465EE" w:rsidP="001278A0">
      <w:pPr>
        <w:ind w:left="5664" w:firstLine="709"/>
        <w:jc w:val="center"/>
        <w:rPr>
          <w:b/>
          <w:spacing w:val="-2"/>
          <w:sz w:val="20"/>
          <w:szCs w:val="20"/>
        </w:rPr>
      </w:pPr>
      <w:r w:rsidRPr="001278A0">
        <w:rPr>
          <w:b/>
          <w:bCs/>
          <w:iCs/>
          <w:spacing w:val="-2"/>
          <w:sz w:val="20"/>
          <w:szCs w:val="20"/>
        </w:rPr>
        <w:t xml:space="preserve">До реєстр. № </w:t>
      </w:r>
      <w:r w:rsidR="0027788E" w:rsidRPr="001278A0">
        <w:rPr>
          <w:b/>
          <w:bCs/>
          <w:iCs/>
          <w:spacing w:val="-2"/>
          <w:sz w:val="20"/>
          <w:szCs w:val="20"/>
        </w:rPr>
        <w:t>8280</w:t>
      </w:r>
      <w:r w:rsidRPr="001278A0">
        <w:rPr>
          <w:b/>
          <w:spacing w:val="-2"/>
          <w:sz w:val="20"/>
          <w:szCs w:val="20"/>
        </w:rPr>
        <w:t xml:space="preserve"> від </w:t>
      </w:r>
      <w:r w:rsidR="0027788E" w:rsidRPr="001278A0">
        <w:rPr>
          <w:b/>
          <w:spacing w:val="-2"/>
          <w:sz w:val="20"/>
          <w:szCs w:val="20"/>
        </w:rPr>
        <w:t>17</w:t>
      </w:r>
      <w:r w:rsidRPr="001278A0">
        <w:rPr>
          <w:b/>
          <w:spacing w:val="-2"/>
          <w:sz w:val="20"/>
          <w:szCs w:val="20"/>
        </w:rPr>
        <w:t>.0</w:t>
      </w:r>
      <w:r w:rsidR="0027788E" w:rsidRPr="001278A0">
        <w:rPr>
          <w:b/>
          <w:spacing w:val="-2"/>
          <w:sz w:val="20"/>
          <w:szCs w:val="20"/>
        </w:rPr>
        <w:t>4</w:t>
      </w:r>
      <w:r w:rsidRPr="001278A0">
        <w:rPr>
          <w:b/>
          <w:spacing w:val="-2"/>
          <w:sz w:val="20"/>
          <w:szCs w:val="20"/>
        </w:rPr>
        <w:t>.201</w:t>
      </w:r>
      <w:r w:rsidR="0027788E" w:rsidRPr="001278A0">
        <w:rPr>
          <w:b/>
          <w:spacing w:val="-2"/>
          <w:sz w:val="20"/>
          <w:szCs w:val="20"/>
        </w:rPr>
        <w:t>8</w:t>
      </w:r>
      <w:r w:rsidRPr="001278A0">
        <w:rPr>
          <w:b/>
          <w:spacing w:val="-2"/>
          <w:sz w:val="20"/>
          <w:szCs w:val="20"/>
        </w:rPr>
        <w:t xml:space="preserve"> р.</w:t>
      </w:r>
    </w:p>
    <w:p w:rsidR="007465EE" w:rsidRPr="00FC4A21" w:rsidRDefault="007465EE" w:rsidP="007465EE">
      <w:pPr>
        <w:ind w:firstLine="709"/>
        <w:jc w:val="right"/>
        <w:rPr>
          <w:b/>
          <w:bCs/>
          <w:spacing w:val="-2"/>
        </w:rPr>
      </w:pPr>
    </w:p>
    <w:p w:rsidR="007465EE" w:rsidRPr="00FC4A21" w:rsidRDefault="007465EE" w:rsidP="007465EE">
      <w:pPr>
        <w:ind w:firstLine="709"/>
        <w:jc w:val="right"/>
        <w:rPr>
          <w:b/>
          <w:bCs/>
          <w:spacing w:val="-2"/>
        </w:rPr>
      </w:pPr>
    </w:p>
    <w:p w:rsidR="007465EE" w:rsidRPr="00FC4A21" w:rsidRDefault="007465EE" w:rsidP="007465EE">
      <w:pPr>
        <w:ind w:firstLine="709"/>
        <w:jc w:val="right"/>
        <w:rPr>
          <w:b/>
          <w:bCs/>
          <w:spacing w:val="-2"/>
        </w:rPr>
      </w:pPr>
    </w:p>
    <w:p w:rsidR="007465EE" w:rsidRPr="00FC4A21" w:rsidRDefault="007465EE" w:rsidP="007465EE">
      <w:pPr>
        <w:ind w:firstLine="709"/>
        <w:jc w:val="right"/>
        <w:rPr>
          <w:b/>
          <w:bCs/>
          <w:spacing w:val="-2"/>
        </w:rPr>
      </w:pPr>
    </w:p>
    <w:p w:rsidR="007465EE" w:rsidRPr="00FC4A21" w:rsidRDefault="007465EE" w:rsidP="007465EE">
      <w:pPr>
        <w:ind w:firstLine="709"/>
        <w:jc w:val="right"/>
        <w:rPr>
          <w:b/>
          <w:bCs/>
          <w:spacing w:val="-2"/>
        </w:rPr>
      </w:pPr>
    </w:p>
    <w:p w:rsidR="007465EE" w:rsidRPr="00FC4A21" w:rsidRDefault="007465EE" w:rsidP="007465EE">
      <w:pPr>
        <w:ind w:firstLine="709"/>
        <w:jc w:val="right"/>
        <w:rPr>
          <w:b/>
          <w:bCs/>
          <w:spacing w:val="-2"/>
        </w:rPr>
      </w:pPr>
    </w:p>
    <w:p w:rsidR="007465EE" w:rsidRPr="00FC4A21" w:rsidRDefault="007465EE" w:rsidP="007465EE">
      <w:pPr>
        <w:ind w:firstLine="709"/>
        <w:jc w:val="right"/>
        <w:rPr>
          <w:b/>
          <w:bCs/>
          <w:spacing w:val="-2"/>
        </w:rPr>
      </w:pPr>
    </w:p>
    <w:p w:rsidR="007465EE" w:rsidRPr="00FC4A21" w:rsidRDefault="007465EE" w:rsidP="007465EE">
      <w:pPr>
        <w:ind w:firstLine="709"/>
        <w:jc w:val="right"/>
        <w:rPr>
          <w:b/>
          <w:bCs/>
          <w:spacing w:val="-2"/>
        </w:rPr>
      </w:pPr>
    </w:p>
    <w:p w:rsidR="007465EE" w:rsidRPr="00FC4A21" w:rsidRDefault="007465EE" w:rsidP="007465EE">
      <w:pPr>
        <w:ind w:firstLine="709"/>
        <w:jc w:val="right"/>
        <w:rPr>
          <w:b/>
          <w:bCs/>
          <w:spacing w:val="-2"/>
        </w:rPr>
      </w:pPr>
    </w:p>
    <w:p w:rsidR="007465EE" w:rsidRDefault="007465EE" w:rsidP="007465EE">
      <w:pPr>
        <w:ind w:firstLine="709"/>
        <w:jc w:val="right"/>
        <w:rPr>
          <w:b/>
          <w:bCs/>
          <w:spacing w:val="-2"/>
        </w:rPr>
      </w:pPr>
    </w:p>
    <w:p w:rsidR="007465EE" w:rsidRPr="00FC4A21" w:rsidRDefault="007465EE" w:rsidP="007465EE">
      <w:pPr>
        <w:ind w:firstLine="709"/>
        <w:jc w:val="right"/>
        <w:rPr>
          <w:b/>
          <w:bCs/>
          <w:spacing w:val="-2"/>
        </w:rPr>
      </w:pPr>
    </w:p>
    <w:p w:rsidR="007465EE" w:rsidRPr="00FC4A21" w:rsidRDefault="007465EE" w:rsidP="007465EE">
      <w:pPr>
        <w:ind w:firstLine="709"/>
        <w:jc w:val="right"/>
        <w:rPr>
          <w:b/>
          <w:bCs/>
          <w:spacing w:val="-2"/>
        </w:rPr>
      </w:pPr>
      <w:r w:rsidRPr="00FC4A21">
        <w:rPr>
          <w:b/>
          <w:bCs/>
          <w:spacing w:val="-2"/>
        </w:rPr>
        <w:t>ВЕРХОВНА РАДА УКРАЇНИ</w:t>
      </w:r>
    </w:p>
    <w:p w:rsidR="007465EE" w:rsidRPr="004260D5" w:rsidRDefault="007465EE" w:rsidP="007465EE">
      <w:pPr>
        <w:ind w:firstLine="709"/>
        <w:jc w:val="both"/>
        <w:rPr>
          <w:spacing w:val="-2"/>
          <w:sz w:val="36"/>
          <w:szCs w:val="36"/>
        </w:rPr>
      </w:pPr>
    </w:p>
    <w:p w:rsidR="0027788E" w:rsidRPr="0006070C" w:rsidRDefault="007465EE" w:rsidP="00D11B13">
      <w:pPr>
        <w:ind w:firstLine="709"/>
        <w:jc w:val="both"/>
        <w:rPr>
          <w:sz w:val="27"/>
          <w:szCs w:val="27"/>
        </w:rPr>
      </w:pPr>
      <w:r w:rsidRPr="0006070C">
        <w:rPr>
          <w:sz w:val="27"/>
          <w:szCs w:val="27"/>
        </w:rPr>
        <w:t xml:space="preserve">Відповідно до статті 16 Закону України «Про комітети Верховної Ради України» та доручення Голови Верховної Ради України </w:t>
      </w:r>
      <w:r w:rsidR="004E6961" w:rsidRPr="0006070C">
        <w:rPr>
          <w:sz w:val="27"/>
          <w:szCs w:val="27"/>
        </w:rPr>
        <w:t xml:space="preserve">А. </w:t>
      </w:r>
      <w:r w:rsidRPr="0006070C">
        <w:rPr>
          <w:sz w:val="27"/>
          <w:szCs w:val="27"/>
        </w:rPr>
        <w:t>Парубія</w:t>
      </w:r>
      <w:r w:rsidR="00D11B13" w:rsidRPr="0006070C">
        <w:rPr>
          <w:sz w:val="27"/>
          <w:szCs w:val="27"/>
        </w:rPr>
        <w:t xml:space="preserve"> </w:t>
      </w:r>
      <w:r w:rsidRPr="0006070C">
        <w:rPr>
          <w:sz w:val="27"/>
          <w:szCs w:val="27"/>
        </w:rPr>
        <w:t>Комітетом з питань законодавчого забезпечення правоохоронної діяльності розглянуто на своєму засіданні 2</w:t>
      </w:r>
      <w:r w:rsidR="0027788E" w:rsidRPr="0006070C">
        <w:rPr>
          <w:sz w:val="27"/>
          <w:szCs w:val="27"/>
        </w:rPr>
        <w:t>7</w:t>
      </w:r>
      <w:r w:rsidRPr="0006070C">
        <w:rPr>
          <w:sz w:val="27"/>
          <w:szCs w:val="27"/>
        </w:rPr>
        <w:t xml:space="preserve"> </w:t>
      </w:r>
      <w:r w:rsidR="00D11B13" w:rsidRPr="0006070C">
        <w:rPr>
          <w:sz w:val="27"/>
          <w:szCs w:val="27"/>
        </w:rPr>
        <w:t>л</w:t>
      </w:r>
      <w:r w:rsidR="0027788E" w:rsidRPr="0006070C">
        <w:rPr>
          <w:sz w:val="27"/>
          <w:szCs w:val="27"/>
        </w:rPr>
        <w:t xml:space="preserve">ютого </w:t>
      </w:r>
      <w:r w:rsidRPr="0006070C">
        <w:rPr>
          <w:sz w:val="27"/>
          <w:szCs w:val="27"/>
        </w:rPr>
        <w:t>201</w:t>
      </w:r>
      <w:r w:rsidR="0027788E" w:rsidRPr="0006070C">
        <w:rPr>
          <w:sz w:val="27"/>
          <w:szCs w:val="27"/>
        </w:rPr>
        <w:t>9</w:t>
      </w:r>
      <w:r w:rsidRPr="0006070C">
        <w:rPr>
          <w:sz w:val="27"/>
          <w:szCs w:val="27"/>
        </w:rPr>
        <w:t xml:space="preserve"> року (протокол № </w:t>
      </w:r>
      <w:r w:rsidR="0027788E" w:rsidRPr="0006070C">
        <w:rPr>
          <w:sz w:val="27"/>
          <w:szCs w:val="27"/>
        </w:rPr>
        <w:t>105</w:t>
      </w:r>
      <w:r w:rsidRPr="0006070C">
        <w:rPr>
          <w:sz w:val="27"/>
          <w:szCs w:val="27"/>
        </w:rPr>
        <w:t>) проект Закону України «</w:t>
      </w:r>
      <w:r w:rsidR="0027788E" w:rsidRPr="0006070C">
        <w:rPr>
          <w:sz w:val="27"/>
          <w:szCs w:val="27"/>
        </w:rPr>
        <w:t>Про внесення змін до Кримінального процесуального кодексу України щодо забезпечення засади змагальності</w:t>
      </w:r>
      <w:r w:rsidR="001278A0" w:rsidRPr="0006070C">
        <w:rPr>
          <w:sz w:val="27"/>
          <w:szCs w:val="27"/>
        </w:rPr>
        <w:t>»</w:t>
      </w:r>
      <w:r w:rsidR="0027788E" w:rsidRPr="0006070C">
        <w:rPr>
          <w:bCs/>
          <w:sz w:val="27"/>
          <w:szCs w:val="27"/>
        </w:rPr>
        <w:t xml:space="preserve"> </w:t>
      </w:r>
      <w:r w:rsidR="0027788E" w:rsidRPr="0006070C">
        <w:rPr>
          <w:b/>
          <w:bCs/>
          <w:sz w:val="27"/>
          <w:szCs w:val="27"/>
        </w:rPr>
        <w:t>(реєстр. № 8280 від 17.04.2018 р.)</w:t>
      </w:r>
      <w:r w:rsidR="0027788E" w:rsidRPr="0006070C">
        <w:rPr>
          <w:sz w:val="27"/>
          <w:szCs w:val="27"/>
        </w:rPr>
        <w:t xml:space="preserve">, </w:t>
      </w:r>
      <w:r w:rsidR="0027788E" w:rsidRPr="0006070C">
        <w:rPr>
          <w:bCs/>
          <w:sz w:val="27"/>
          <w:szCs w:val="27"/>
        </w:rPr>
        <w:t>поданий народним депутатом України Микитасем М.В.</w:t>
      </w:r>
    </w:p>
    <w:p w:rsidR="0027788E" w:rsidRPr="0006070C" w:rsidRDefault="0027788E" w:rsidP="0027788E">
      <w:pPr>
        <w:ind w:firstLine="720"/>
        <w:jc w:val="both"/>
        <w:rPr>
          <w:bCs/>
          <w:sz w:val="27"/>
          <w:szCs w:val="27"/>
        </w:rPr>
      </w:pPr>
      <w:r w:rsidRPr="0006070C">
        <w:rPr>
          <w:rStyle w:val="12"/>
          <w:sz w:val="27"/>
          <w:szCs w:val="27"/>
        </w:rPr>
        <w:t xml:space="preserve">Даним законопроектом </w:t>
      </w:r>
      <w:r w:rsidRPr="0006070C">
        <w:rPr>
          <w:bCs/>
          <w:sz w:val="27"/>
          <w:szCs w:val="27"/>
        </w:rPr>
        <w:t>вносяться зміни до статей 307</w:t>
      </w:r>
      <w:r w:rsidRPr="0006070C">
        <w:rPr>
          <w:b/>
          <w:bCs/>
          <w:sz w:val="27"/>
          <w:szCs w:val="27"/>
        </w:rPr>
        <w:t xml:space="preserve"> </w:t>
      </w:r>
      <w:r w:rsidRPr="0006070C">
        <w:rPr>
          <w:bCs/>
          <w:sz w:val="27"/>
          <w:szCs w:val="27"/>
        </w:rPr>
        <w:t>«Рішення</w:t>
      </w:r>
      <w:bookmarkStart w:id="0" w:name="_GoBack"/>
      <w:bookmarkEnd w:id="0"/>
      <w:r w:rsidRPr="0006070C">
        <w:rPr>
          <w:bCs/>
          <w:sz w:val="27"/>
          <w:szCs w:val="27"/>
        </w:rPr>
        <w:t xml:space="preserve"> слідчого судді за результатами розгляду скарг на рішення, дії чи бездіяльність слідчого чи прокурора під час досудового розслідування»</w:t>
      </w:r>
      <w:r w:rsidR="004260D5" w:rsidRPr="0006070C">
        <w:rPr>
          <w:bCs/>
          <w:sz w:val="27"/>
          <w:szCs w:val="27"/>
        </w:rPr>
        <w:t xml:space="preserve"> та</w:t>
      </w:r>
      <w:r w:rsidRPr="0006070C">
        <w:rPr>
          <w:bCs/>
          <w:sz w:val="27"/>
          <w:szCs w:val="27"/>
        </w:rPr>
        <w:t xml:space="preserve"> 309 «Ухвали слідчого судді, які можуть бути оскаржені під час досудового розслідування» Кримінального процесуального кодексу України (далі – КПК), якими пропонується встановити, що оскарженню, серед іншого, </w:t>
      </w:r>
      <w:r w:rsidR="001278A0" w:rsidRPr="0006070C">
        <w:rPr>
          <w:bCs/>
          <w:sz w:val="27"/>
          <w:szCs w:val="27"/>
        </w:rPr>
        <w:t xml:space="preserve">підлягає </w:t>
      </w:r>
      <w:r w:rsidRPr="0006070C">
        <w:rPr>
          <w:bCs/>
          <w:sz w:val="27"/>
          <w:szCs w:val="27"/>
        </w:rPr>
        <w:t>ухвала про відмову у задоволенні скарги на постанову про відмову в задоволенні клопотання про проведення слідчих (розшукових) дій, негласних слідчих (розшукових) дій.</w:t>
      </w:r>
    </w:p>
    <w:p w:rsidR="00B236EF" w:rsidRPr="0006070C" w:rsidRDefault="00B236EF" w:rsidP="00B236EF">
      <w:pPr>
        <w:pStyle w:val="a3"/>
        <w:ind w:firstLine="709"/>
        <w:jc w:val="both"/>
        <w:rPr>
          <w:rFonts w:ascii="Times New Roman" w:hAnsi="Times New Roman" w:cs="Times New Roman"/>
          <w:sz w:val="27"/>
          <w:szCs w:val="27"/>
        </w:rPr>
      </w:pPr>
      <w:r w:rsidRPr="0006070C">
        <w:rPr>
          <w:rFonts w:ascii="Times New Roman" w:hAnsi="Times New Roman" w:cs="Times New Roman"/>
          <w:sz w:val="27"/>
          <w:szCs w:val="27"/>
        </w:rPr>
        <w:t xml:space="preserve">Комітет з питань законодавчого забезпечення правоохоронної діяльності </w:t>
      </w:r>
      <w:r w:rsidR="0027788E" w:rsidRPr="0006070C">
        <w:rPr>
          <w:rFonts w:ascii="Times New Roman" w:hAnsi="Times New Roman" w:cs="Times New Roman"/>
          <w:sz w:val="27"/>
          <w:szCs w:val="27"/>
        </w:rPr>
        <w:t xml:space="preserve">з приводу запропонованих змін </w:t>
      </w:r>
      <w:r w:rsidRPr="0006070C">
        <w:rPr>
          <w:rFonts w:ascii="Times New Roman" w:hAnsi="Times New Roman" w:cs="Times New Roman"/>
          <w:sz w:val="27"/>
          <w:szCs w:val="27"/>
        </w:rPr>
        <w:t>вважає за доцільне зауважити наступне.</w:t>
      </w:r>
    </w:p>
    <w:p w:rsidR="00AD054A" w:rsidRPr="0006070C" w:rsidRDefault="0027788E" w:rsidP="0027788E">
      <w:pPr>
        <w:ind w:firstLine="567"/>
        <w:jc w:val="both"/>
        <w:rPr>
          <w:sz w:val="27"/>
          <w:szCs w:val="27"/>
        </w:rPr>
      </w:pPr>
      <w:r w:rsidRPr="0006070C">
        <w:rPr>
          <w:sz w:val="27"/>
          <w:szCs w:val="27"/>
        </w:rPr>
        <w:t xml:space="preserve">Законом України «Про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та інших законодавчих актів» від 03.10.2017 року № 2147-VIII були внесені зміни до </w:t>
      </w:r>
      <w:r w:rsidR="001278A0" w:rsidRPr="0006070C">
        <w:rPr>
          <w:sz w:val="27"/>
          <w:szCs w:val="27"/>
        </w:rPr>
        <w:t xml:space="preserve">положень </w:t>
      </w:r>
      <w:r w:rsidRPr="0006070C">
        <w:rPr>
          <w:sz w:val="27"/>
          <w:szCs w:val="27"/>
        </w:rPr>
        <w:t xml:space="preserve">низки нормативно-правових актів, </w:t>
      </w:r>
      <w:r w:rsidR="00AD054A" w:rsidRPr="0006070C">
        <w:rPr>
          <w:sz w:val="27"/>
          <w:szCs w:val="27"/>
        </w:rPr>
        <w:t>у тому числі</w:t>
      </w:r>
      <w:r w:rsidRPr="0006070C">
        <w:rPr>
          <w:sz w:val="27"/>
          <w:szCs w:val="27"/>
        </w:rPr>
        <w:t xml:space="preserve">, </w:t>
      </w:r>
      <w:r w:rsidR="001278A0" w:rsidRPr="0006070C">
        <w:rPr>
          <w:sz w:val="27"/>
          <w:szCs w:val="27"/>
        </w:rPr>
        <w:t xml:space="preserve">і </w:t>
      </w:r>
      <w:r w:rsidRPr="0006070C">
        <w:rPr>
          <w:sz w:val="27"/>
          <w:szCs w:val="27"/>
        </w:rPr>
        <w:t xml:space="preserve">до частини третьої статті 307 КПК. </w:t>
      </w:r>
    </w:p>
    <w:p w:rsidR="0027788E" w:rsidRPr="0006070C" w:rsidRDefault="00AD054A" w:rsidP="0027788E">
      <w:pPr>
        <w:ind w:firstLine="567"/>
        <w:jc w:val="both"/>
        <w:rPr>
          <w:sz w:val="27"/>
          <w:szCs w:val="27"/>
        </w:rPr>
      </w:pPr>
      <w:r w:rsidRPr="0006070C">
        <w:rPr>
          <w:sz w:val="27"/>
          <w:szCs w:val="27"/>
        </w:rPr>
        <w:t>З</w:t>
      </w:r>
      <w:r w:rsidR="004260D5" w:rsidRPr="0006070C">
        <w:rPr>
          <w:sz w:val="27"/>
          <w:szCs w:val="27"/>
        </w:rPr>
        <w:t>мінами, з</w:t>
      </w:r>
      <w:r w:rsidRPr="0006070C">
        <w:rPr>
          <w:sz w:val="27"/>
          <w:szCs w:val="27"/>
        </w:rPr>
        <w:t xml:space="preserve">окрема, </w:t>
      </w:r>
      <w:r w:rsidR="0027788E" w:rsidRPr="0006070C">
        <w:rPr>
          <w:sz w:val="27"/>
          <w:szCs w:val="27"/>
        </w:rPr>
        <w:t xml:space="preserve">доповнено перелік ухвал слідчого судді за результатами розгляду скарги на рішення, дію чи бездіяльність слідчого чи прокурора, які можуть бути оскаржені. </w:t>
      </w:r>
      <w:r w:rsidR="001278A0" w:rsidRPr="0006070C">
        <w:rPr>
          <w:sz w:val="27"/>
          <w:szCs w:val="27"/>
        </w:rPr>
        <w:t>Так, о</w:t>
      </w:r>
      <w:r w:rsidR="0027788E" w:rsidRPr="0006070C">
        <w:rPr>
          <w:sz w:val="27"/>
          <w:szCs w:val="27"/>
        </w:rPr>
        <w:t>скарженню стали підлягати ухвали про скасування повід</w:t>
      </w:r>
      <w:r w:rsidR="004260D5" w:rsidRPr="0006070C">
        <w:rPr>
          <w:sz w:val="27"/>
          <w:szCs w:val="27"/>
        </w:rPr>
        <w:t>омлення про підозру та відмову в</w:t>
      </w:r>
      <w:r w:rsidR="0027788E" w:rsidRPr="0006070C">
        <w:rPr>
          <w:sz w:val="27"/>
          <w:szCs w:val="27"/>
        </w:rPr>
        <w:t xml:space="preserve"> задоволенні скарги на повідомлення про підозру. До набуття чинності Законом № 2147-VIII можлив</w:t>
      </w:r>
      <w:r w:rsidR="004260D5" w:rsidRPr="0006070C">
        <w:rPr>
          <w:sz w:val="27"/>
          <w:szCs w:val="27"/>
        </w:rPr>
        <w:t xml:space="preserve">им було лише </w:t>
      </w:r>
      <w:r w:rsidR="0027788E" w:rsidRPr="0006070C">
        <w:rPr>
          <w:sz w:val="27"/>
          <w:szCs w:val="27"/>
        </w:rPr>
        <w:t>оскарження ухвали про відмову у задоволенні скарги на постанову про закриття кримінального провадження.</w:t>
      </w:r>
    </w:p>
    <w:p w:rsidR="004260D5" w:rsidRPr="0006070C" w:rsidRDefault="0027788E" w:rsidP="0027788E">
      <w:pPr>
        <w:ind w:firstLine="567"/>
        <w:jc w:val="both"/>
        <w:rPr>
          <w:sz w:val="27"/>
          <w:szCs w:val="27"/>
        </w:rPr>
      </w:pPr>
      <w:r w:rsidRPr="0006070C">
        <w:rPr>
          <w:sz w:val="27"/>
          <w:szCs w:val="27"/>
        </w:rPr>
        <w:t>У законопроекті за реєстр. № 8280 пропонується зробити можливим оскарження, крім зазначених вище</w:t>
      </w:r>
      <w:r w:rsidR="004260D5" w:rsidRPr="0006070C">
        <w:rPr>
          <w:sz w:val="27"/>
          <w:szCs w:val="27"/>
        </w:rPr>
        <w:t xml:space="preserve"> ухвал</w:t>
      </w:r>
      <w:r w:rsidRPr="0006070C">
        <w:rPr>
          <w:sz w:val="27"/>
          <w:szCs w:val="27"/>
        </w:rPr>
        <w:t xml:space="preserve">, також ухвали слідчого судді про відмову </w:t>
      </w:r>
      <w:r w:rsidRPr="0006070C">
        <w:rPr>
          <w:sz w:val="27"/>
          <w:szCs w:val="27"/>
        </w:rPr>
        <w:lastRenderedPageBreak/>
        <w:t xml:space="preserve">у задоволенні скарги на постанову про відмову в задоволенні клопотання про проведення слідчих (розшукових) дій, негласних слідчих розшукових дій. </w:t>
      </w:r>
    </w:p>
    <w:p w:rsidR="0027788E" w:rsidRPr="0006070C" w:rsidRDefault="0027788E" w:rsidP="0027788E">
      <w:pPr>
        <w:ind w:firstLine="567"/>
        <w:jc w:val="both"/>
        <w:rPr>
          <w:sz w:val="27"/>
          <w:szCs w:val="27"/>
        </w:rPr>
      </w:pPr>
      <w:r w:rsidRPr="0006070C">
        <w:rPr>
          <w:sz w:val="27"/>
          <w:szCs w:val="27"/>
        </w:rPr>
        <w:t>Конституцією України кожному гарантується право на оскарження в суді рішень, дій чи бездіяльності органів державної влади, органів місцевого самоврядування, посадових і службових осіб (ч</w:t>
      </w:r>
      <w:r w:rsidR="00AD054A" w:rsidRPr="0006070C">
        <w:rPr>
          <w:sz w:val="27"/>
          <w:szCs w:val="27"/>
        </w:rPr>
        <w:t xml:space="preserve">астина друга </w:t>
      </w:r>
      <w:r w:rsidRPr="0006070C">
        <w:rPr>
          <w:sz w:val="27"/>
          <w:szCs w:val="27"/>
        </w:rPr>
        <w:t>ст</w:t>
      </w:r>
      <w:r w:rsidR="00AD054A" w:rsidRPr="0006070C">
        <w:rPr>
          <w:sz w:val="27"/>
          <w:szCs w:val="27"/>
        </w:rPr>
        <w:t xml:space="preserve">атті </w:t>
      </w:r>
      <w:r w:rsidRPr="0006070C">
        <w:rPr>
          <w:sz w:val="27"/>
          <w:szCs w:val="27"/>
        </w:rPr>
        <w:t>55). Однією з основних засад судочинства є забезпечення права на апеляційний перегляд справи та у визначених законом випадках - на касаційне оскарження судового рішення (п</w:t>
      </w:r>
      <w:r w:rsidR="00AD054A" w:rsidRPr="0006070C">
        <w:rPr>
          <w:sz w:val="27"/>
          <w:szCs w:val="27"/>
        </w:rPr>
        <w:t xml:space="preserve">ункт </w:t>
      </w:r>
      <w:r w:rsidRPr="0006070C">
        <w:rPr>
          <w:sz w:val="27"/>
          <w:szCs w:val="27"/>
        </w:rPr>
        <w:t>8 ч</w:t>
      </w:r>
      <w:r w:rsidR="00AD054A" w:rsidRPr="0006070C">
        <w:rPr>
          <w:sz w:val="27"/>
          <w:szCs w:val="27"/>
        </w:rPr>
        <w:t xml:space="preserve">астини другої </w:t>
      </w:r>
      <w:r w:rsidRPr="0006070C">
        <w:rPr>
          <w:sz w:val="27"/>
          <w:szCs w:val="27"/>
        </w:rPr>
        <w:t>ст</w:t>
      </w:r>
      <w:r w:rsidR="00AD054A" w:rsidRPr="0006070C">
        <w:rPr>
          <w:sz w:val="27"/>
          <w:szCs w:val="27"/>
        </w:rPr>
        <w:t xml:space="preserve">атті </w:t>
      </w:r>
      <w:r w:rsidRPr="0006070C">
        <w:rPr>
          <w:sz w:val="27"/>
          <w:szCs w:val="27"/>
        </w:rPr>
        <w:t>129 Конституції України). Йдеться про гарантоване конституційне право на перегляд судом апеляційної інстанції остаточних судових рішень,</w:t>
      </w:r>
      <w:r w:rsidRPr="0006070C">
        <w:rPr>
          <w:i/>
          <w:sz w:val="27"/>
          <w:szCs w:val="27"/>
        </w:rPr>
        <w:t xml:space="preserve"> </w:t>
      </w:r>
      <w:r w:rsidRPr="0006070C">
        <w:rPr>
          <w:sz w:val="27"/>
          <w:szCs w:val="27"/>
        </w:rPr>
        <w:t>тобто рішення, вироку, ухвали суду, що стосується прав, свобод чи інтересів особи.</w:t>
      </w:r>
      <w:r w:rsidRPr="0006070C">
        <w:rPr>
          <w:i/>
          <w:sz w:val="27"/>
          <w:szCs w:val="27"/>
        </w:rPr>
        <w:t xml:space="preserve"> </w:t>
      </w:r>
      <w:r w:rsidRPr="0006070C">
        <w:rPr>
          <w:sz w:val="27"/>
          <w:szCs w:val="27"/>
        </w:rPr>
        <w:t>Питання оскарження так званих проміжних судових рішень</w:t>
      </w:r>
      <w:r w:rsidRPr="0006070C">
        <w:rPr>
          <w:i/>
          <w:sz w:val="27"/>
          <w:szCs w:val="27"/>
        </w:rPr>
        <w:t xml:space="preserve">, </w:t>
      </w:r>
      <w:r w:rsidRPr="0006070C">
        <w:rPr>
          <w:sz w:val="27"/>
          <w:szCs w:val="27"/>
        </w:rPr>
        <w:t>тобто ухвал, які не вирішують долю кримінального провадження по суті, вирішуються законодавцем шляхом внесення змін до КПК з дотриманням балансу між необхідністю гарантування прав сторін кримінального провадження та забезпеченням швидкого, повного та неупередженого судового розгляду і недопущенням штучного затягування досудового слідства чи судового процесу.</w:t>
      </w:r>
    </w:p>
    <w:p w:rsidR="0027788E" w:rsidRPr="0006070C" w:rsidRDefault="0027788E" w:rsidP="0027788E">
      <w:pPr>
        <w:ind w:firstLine="720"/>
        <w:jc w:val="both"/>
        <w:rPr>
          <w:bCs/>
          <w:sz w:val="27"/>
          <w:szCs w:val="27"/>
        </w:rPr>
      </w:pPr>
      <w:r w:rsidRPr="0006070C">
        <w:rPr>
          <w:sz w:val="27"/>
          <w:szCs w:val="27"/>
        </w:rPr>
        <w:t xml:space="preserve">Власне, у законопроекті </w:t>
      </w:r>
      <w:r w:rsidR="004260D5" w:rsidRPr="0006070C">
        <w:rPr>
          <w:sz w:val="27"/>
          <w:szCs w:val="27"/>
        </w:rPr>
        <w:t xml:space="preserve">за реєстр. № 8280 </w:t>
      </w:r>
      <w:r w:rsidRPr="0006070C">
        <w:rPr>
          <w:sz w:val="27"/>
          <w:szCs w:val="27"/>
        </w:rPr>
        <w:t xml:space="preserve">порушено питання про необхідність розширення переліку саме проміжних судових рішень, оскарження яких можливе в апеляційному порядку, шляхом внесення до КПК норми, відповідно до якої </w:t>
      </w:r>
      <w:r w:rsidRPr="0006070C">
        <w:rPr>
          <w:bCs/>
          <w:sz w:val="27"/>
          <w:szCs w:val="27"/>
        </w:rPr>
        <w:t xml:space="preserve">оскарженню підлягає, </w:t>
      </w:r>
      <w:r w:rsidR="004260D5" w:rsidRPr="0006070C">
        <w:rPr>
          <w:bCs/>
          <w:sz w:val="27"/>
          <w:szCs w:val="27"/>
        </w:rPr>
        <w:t>у</w:t>
      </w:r>
      <w:r w:rsidRPr="0006070C">
        <w:rPr>
          <w:bCs/>
          <w:sz w:val="27"/>
          <w:szCs w:val="27"/>
        </w:rPr>
        <w:t xml:space="preserve"> тому числі, ухвала про відмову у задоволенні скарги на постанову про відмову в задоволенні клопотання про проведення слідчих (розшукових) дій, негласних слідчих (розшукових) дій.</w:t>
      </w:r>
    </w:p>
    <w:p w:rsidR="0027788E" w:rsidRPr="0006070C" w:rsidRDefault="0027788E" w:rsidP="0027788E">
      <w:pPr>
        <w:ind w:firstLine="720"/>
        <w:jc w:val="both"/>
        <w:rPr>
          <w:bCs/>
          <w:sz w:val="27"/>
          <w:szCs w:val="27"/>
        </w:rPr>
      </w:pPr>
      <w:r w:rsidRPr="0006070C">
        <w:rPr>
          <w:bCs/>
          <w:sz w:val="27"/>
          <w:szCs w:val="27"/>
        </w:rPr>
        <w:t>Безперечно, внесення відповідних змін матиме наслідком розширення кола можливостей сторони захисту</w:t>
      </w:r>
      <w:r w:rsidR="004260D5" w:rsidRPr="0006070C">
        <w:rPr>
          <w:bCs/>
          <w:sz w:val="27"/>
          <w:szCs w:val="27"/>
        </w:rPr>
        <w:t xml:space="preserve">, але також </w:t>
      </w:r>
      <w:r w:rsidRPr="0006070C">
        <w:rPr>
          <w:bCs/>
          <w:sz w:val="27"/>
          <w:szCs w:val="27"/>
        </w:rPr>
        <w:t xml:space="preserve">збільшується ймовірність порушення строків досудового розслідування кримінальних правопорушень, адже чинний КПК не містить приписів щодо обмеження кількості клопотань, поданих стороною захисту під час досудового розслідування в межах одного кримінального провадження. </w:t>
      </w:r>
    </w:p>
    <w:p w:rsidR="0027788E" w:rsidRPr="0006070C" w:rsidRDefault="0027788E" w:rsidP="0027788E">
      <w:pPr>
        <w:ind w:firstLine="720"/>
        <w:jc w:val="both"/>
        <w:rPr>
          <w:bCs/>
          <w:sz w:val="27"/>
          <w:szCs w:val="27"/>
        </w:rPr>
      </w:pPr>
      <w:r w:rsidRPr="0006070C">
        <w:rPr>
          <w:bCs/>
          <w:sz w:val="27"/>
          <w:szCs w:val="27"/>
        </w:rPr>
        <w:t xml:space="preserve">Якщо щодо кожного клопотання остаточне </w:t>
      </w:r>
      <w:r w:rsidR="0006070C" w:rsidRPr="0006070C">
        <w:rPr>
          <w:bCs/>
          <w:sz w:val="27"/>
          <w:szCs w:val="27"/>
        </w:rPr>
        <w:t xml:space="preserve">рішення </w:t>
      </w:r>
      <w:r w:rsidRPr="0006070C">
        <w:rPr>
          <w:bCs/>
          <w:sz w:val="27"/>
          <w:szCs w:val="27"/>
        </w:rPr>
        <w:t>буде залишатись за судом апеляційної інстанції, то таким чином ймовірно будуть створенні передумови для затягування досудового розслідування фактично будь-якого кримінального провадження на невизначений строк, адже до закінчення оскарження постанов про відмову у задоволенні клопотань слідчий, прокурор будуть позбавлені можливості визнати зібрані під час досудового розслідування докази достатніми для складання обвинувального акту, завершити досудове розслідування та передати обвинувальний акт, клопотання про застосування примусових заходів медичного або виховного характеру або клопотання про звільнення від кримінальної відповідальності до суду.</w:t>
      </w:r>
    </w:p>
    <w:p w:rsidR="0027788E" w:rsidRPr="0006070C" w:rsidRDefault="0027788E" w:rsidP="0027788E">
      <w:pPr>
        <w:ind w:firstLine="720"/>
        <w:jc w:val="both"/>
        <w:rPr>
          <w:bCs/>
          <w:sz w:val="27"/>
          <w:szCs w:val="27"/>
        </w:rPr>
      </w:pPr>
      <w:r w:rsidRPr="0006070C">
        <w:rPr>
          <w:bCs/>
          <w:sz w:val="27"/>
          <w:szCs w:val="27"/>
        </w:rPr>
        <w:t xml:space="preserve">На </w:t>
      </w:r>
      <w:r w:rsidR="00AD054A" w:rsidRPr="0006070C">
        <w:rPr>
          <w:bCs/>
          <w:sz w:val="27"/>
          <w:szCs w:val="27"/>
        </w:rPr>
        <w:t xml:space="preserve">думку народних депутатів України – членів Комітету на </w:t>
      </w:r>
      <w:r w:rsidRPr="0006070C">
        <w:rPr>
          <w:bCs/>
          <w:sz w:val="27"/>
          <w:szCs w:val="27"/>
        </w:rPr>
        <w:t xml:space="preserve">практиці </w:t>
      </w:r>
      <w:r w:rsidR="0006070C" w:rsidRPr="0006070C">
        <w:rPr>
          <w:bCs/>
          <w:sz w:val="27"/>
          <w:szCs w:val="27"/>
        </w:rPr>
        <w:t xml:space="preserve">це </w:t>
      </w:r>
      <w:r w:rsidRPr="0006070C">
        <w:rPr>
          <w:bCs/>
          <w:sz w:val="27"/>
          <w:szCs w:val="27"/>
        </w:rPr>
        <w:t>не сприятиме забезпеченню швидкого та повного захисту особи, суспільства та держави від кримінальних правопорушень і унеможливить реалізацію гарантованого кожному права на вирішення справи в розумні строки судом.</w:t>
      </w:r>
    </w:p>
    <w:p w:rsidR="0027788E" w:rsidRPr="0006070C" w:rsidRDefault="0027788E" w:rsidP="0027788E">
      <w:pPr>
        <w:ind w:firstLine="567"/>
        <w:jc w:val="both"/>
        <w:rPr>
          <w:sz w:val="27"/>
          <w:szCs w:val="27"/>
        </w:rPr>
      </w:pPr>
      <w:r w:rsidRPr="0006070C">
        <w:rPr>
          <w:sz w:val="27"/>
          <w:szCs w:val="27"/>
        </w:rPr>
        <w:t xml:space="preserve">Також, Комітет взяв до уваги зауваження, висловлені в експертних висновках Міністерства юстиції України, </w:t>
      </w:r>
      <w:r w:rsidR="00AD054A" w:rsidRPr="0006070C">
        <w:rPr>
          <w:sz w:val="27"/>
          <w:szCs w:val="27"/>
        </w:rPr>
        <w:t xml:space="preserve">Генеральної прокуратури України, Національного антикорупційного бюро України, Верховного Суду, </w:t>
      </w:r>
      <w:r w:rsidRPr="0006070C">
        <w:rPr>
          <w:sz w:val="27"/>
          <w:szCs w:val="27"/>
        </w:rPr>
        <w:t xml:space="preserve">Інституту законодавства Верховної Ради України, </w:t>
      </w:r>
      <w:r w:rsidR="00AD054A" w:rsidRPr="0006070C">
        <w:rPr>
          <w:sz w:val="27"/>
          <w:szCs w:val="27"/>
        </w:rPr>
        <w:t xml:space="preserve">які </w:t>
      </w:r>
      <w:r w:rsidRPr="0006070C">
        <w:rPr>
          <w:sz w:val="27"/>
          <w:szCs w:val="27"/>
        </w:rPr>
        <w:t xml:space="preserve">зазначають, що положення </w:t>
      </w:r>
      <w:r w:rsidR="00AD054A" w:rsidRPr="0006070C">
        <w:rPr>
          <w:sz w:val="27"/>
          <w:szCs w:val="27"/>
        </w:rPr>
        <w:t xml:space="preserve">законопроекту </w:t>
      </w:r>
      <w:r w:rsidRPr="0006070C">
        <w:rPr>
          <w:sz w:val="27"/>
          <w:szCs w:val="27"/>
        </w:rPr>
        <w:t xml:space="preserve">потребують </w:t>
      </w:r>
      <w:r w:rsidR="00AD054A" w:rsidRPr="0006070C">
        <w:rPr>
          <w:sz w:val="27"/>
          <w:szCs w:val="27"/>
        </w:rPr>
        <w:t xml:space="preserve">ґрунтовного </w:t>
      </w:r>
      <w:r w:rsidRPr="0006070C">
        <w:rPr>
          <w:sz w:val="27"/>
          <w:szCs w:val="27"/>
        </w:rPr>
        <w:t>доопрацювання.</w:t>
      </w:r>
    </w:p>
    <w:p w:rsidR="00AD054A" w:rsidRPr="0006070C" w:rsidRDefault="00AD054A" w:rsidP="00AD054A">
      <w:pPr>
        <w:ind w:firstLine="720"/>
        <w:jc w:val="both"/>
        <w:rPr>
          <w:rStyle w:val="a9"/>
          <w:rFonts w:eastAsiaTheme="minorHAnsi"/>
          <w:sz w:val="27"/>
          <w:szCs w:val="27"/>
        </w:rPr>
      </w:pPr>
      <w:r w:rsidRPr="0006070C">
        <w:rPr>
          <w:sz w:val="27"/>
          <w:szCs w:val="27"/>
        </w:rPr>
        <w:lastRenderedPageBreak/>
        <w:t xml:space="preserve">Зокрема, </w:t>
      </w:r>
      <w:r w:rsidRPr="0006070C">
        <w:rPr>
          <w:rStyle w:val="a9"/>
          <w:rFonts w:eastAsiaTheme="minorHAnsi"/>
          <w:sz w:val="27"/>
          <w:szCs w:val="27"/>
        </w:rPr>
        <w:t>Генеральна прокуратура України</w:t>
      </w:r>
      <w:r w:rsidRPr="0006070C">
        <w:rPr>
          <w:rStyle w:val="a9"/>
          <w:rFonts w:eastAsiaTheme="minorHAnsi"/>
          <w:b/>
          <w:sz w:val="27"/>
          <w:szCs w:val="27"/>
        </w:rPr>
        <w:t xml:space="preserve"> </w:t>
      </w:r>
      <w:r w:rsidRPr="0006070C">
        <w:rPr>
          <w:rStyle w:val="a9"/>
          <w:rFonts w:eastAsiaTheme="minorHAnsi"/>
          <w:sz w:val="27"/>
          <w:szCs w:val="27"/>
        </w:rPr>
        <w:t xml:space="preserve">не підтримує законопроект і вважає, що оскарження в суді апеляційної інстанції зазначених вище ухвал слідчого судді може бути використано для штучного та умисного затягування досудового розслідування. </w:t>
      </w:r>
    </w:p>
    <w:p w:rsidR="00AD054A" w:rsidRPr="0006070C" w:rsidRDefault="00AD054A" w:rsidP="00AD054A">
      <w:pPr>
        <w:pStyle w:val="a3"/>
        <w:ind w:firstLine="709"/>
        <w:jc w:val="both"/>
        <w:rPr>
          <w:rStyle w:val="a9"/>
          <w:rFonts w:eastAsiaTheme="minorHAnsi"/>
          <w:sz w:val="27"/>
          <w:szCs w:val="27"/>
        </w:rPr>
      </w:pPr>
      <w:r w:rsidRPr="0006070C">
        <w:rPr>
          <w:rStyle w:val="a9"/>
          <w:rFonts w:eastAsiaTheme="minorHAnsi"/>
          <w:sz w:val="27"/>
          <w:szCs w:val="27"/>
        </w:rPr>
        <w:t>Крім того, зазначає, що сторони кримінального провадження не позбавлені права заявляти у разі достатніх підстав клопотання про проведення окремих слідчих дій під час судового розгляду кримінального провадження по суті, оскільки відповідно до ч</w:t>
      </w:r>
      <w:r w:rsidR="0006070C" w:rsidRPr="0006070C">
        <w:rPr>
          <w:rStyle w:val="a9"/>
          <w:rFonts w:eastAsiaTheme="minorHAnsi"/>
          <w:sz w:val="27"/>
          <w:szCs w:val="27"/>
        </w:rPr>
        <w:t xml:space="preserve">астини третьої </w:t>
      </w:r>
      <w:r w:rsidRPr="0006070C">
        <w:rPr>
          <w:rStyle w:val="a9"/>
          <w:rFonts w:eastAsiaTheme="minorHAnsi"/>
          <w:sz w:val="27"/>
          <w:szCs w:val="27"/>
        </w:rPr>
        <w:t>ст</w:t>
      </w:r>
      <w:r w:rsidR="0006070C" w:rsidRPr="0006070C">
        <w:rPr>
          <w:rStyle w:val="a9"/>
          <w:rFonts w:eastAsiaTheme="minorHAnsi"/>
          <w:sz w:val="27"/>
          <w:szCs w:val="27"/>
        </w:rPr>
        <w:t xml:space="preserve">атті </w:t>
      </w:r>
      <w:r w:rsidRPr="0006070C">
        <w:rPr>
          <w:rStyle w:val="a9"/>
          <w:rFonts w:eastAsiaTheme="minorHAnsi"/>
          <w:sz w:val="27"/>
          <w:szCs w:val="27"/>
        </w:rPr>
        <w:t>93 КПК ініціювання стороною захисту, потерпілим, представником юридичної особи, щодо якої здійснюється провадження, проведення слідчих (розшукових) дій здійснюється шляхом подання слідчому, прокурору відповідних клопотань, які розглядаються в порядку, передбаченому ст</w:t>
      </w:r>
      <w:r w:rsidR="0006070C" w:rsidRPr="0006070C">
        <w:rPr>
          <w:rStyle w:val="a9"/>
          <w:rFonts w:eastAsiaTheme="minorHAnsi"/>
          <w:sz w:val="27"/>
          <w:szCs w:val="27"/>
        </w:rPr>
        <w:t xml:space="preserve">аттею </w:t>
      </w:r>
      <w:r w:rsidRPr="0006070C">
        <w:rPr>
          <w:rStyle w:val="a9"/>
          <w:rFonts w:eastAsiaTheme="minorHAnsi"/>
          <w:sz w:val="27"/>
          <w:szCs w:val="27"/>
        </w:rPr>
        <w:t>220 КПК</w:t>
      </w:r>
      <w:r w:rsidR="0006070C" w:rsidRPr="0006070C">
        <w:rPr>
          <w:rStyle w:val="a9"/>
          <w:rFonts w:eastAsiaTheme="minorHAnsi"/>
          <w:sz w:val="27"/>
          <w:szCs w:val="27"/>
        </w:rPr>
        <w:t>.</w:t>
      </w:r>
    </w:p>
    <w:p w:rsidR="00AD054A" w:rsidRPr="0006070C" w:rsidRDefault="00AD054A" w:rsidP="00AD054A">
      <w:pPr>
        <w:pStyle w:val="a3"/>
        <w:ind w:firstLine="709"/>
        <w:jc w:val="both"/>
        <w:rPr>
          <w:sz w:val="27"/>
          <w:szCs w:val="27"/>
        </w:rPr>
      </w:pPr>
      <w:r w:rsidRPr="0006070C">
        <w:rPr>
          <w:rStyle w:val="a9"/>
          <w:rFonts w:eastAsiaTheme="minorHAnsi"/>
          <w:sz w:val="27"/>
          <w:szCs w:val="27"/>
        </w:rPr>
        <w:t>Постанова слідчого, прокурора про відмову в задоволенні клопотання про проведення слідчих (розшукових) дій, негласних слідчих (розшукових) дій може бути оскаржена слідчому судді. Порядок оскарження рішення слідчого, прокурора про відмову в задоволенні клопотання про проведення слідчих (розшукових) дій, негласних слідчих (розшукових) дій визначено ч</w:t>
      </w:r>
      <w:r w:rsidR="0006070C" w:rsidRPr="0006070C">
        <w:rPr>
          <w:rStyle w:val="a9"/>
          <w:rFonts w:eastAsiaTheme="minorHAnsi"/>
          <w:sz w:val="27"/>
          <w:szCs w:val="27"/>
        </w:rPr>
        <w:t xml:space="preserve">астиною першою </w:t>
      </w:r>
      <w:r w:rsidRPr="0006070C">
        <w:rPr>
          <w:rStyle w:val="a9"/>
          <w:rFonts w:eastAsiaTheme="minorHAnsi"/>
          <w:sz w:val="27"/>
          <w:szCs w:val="27"/>
        </w:rPr>
        <w:t>ст</w:t>
      </w:r>
      <w:r w:rsidR="0006070C" w:rsidRPr="0006070C">
        <w:rPr>
          <w:rStyle w:val="a9"/>
          <w:rFonts w:eastAsiaTheme="minorHAnsi"/>
          <w:sz w:val="27"/>
          <w:szCs w:val="27"/>
        </w:rPr>
        <w:t xml:space="preserve">атті </w:t>
      </w:r>
      <w:r w:rsidRPr="0006070C">
        <w:rPr>
          <w:rStyle w:val="a9"/>
          <w:rFonts w:eastAsiaTheme="minorHAnsi"/>
          <w:sz w:val="27"/>
          <w:szCs w:val="27"/>
        </w:rPr>
        <w:t>303 КПК</w:t>
      </w:r>
      <w:r w:rsidR="0006070C" w:rsidRPr="0006070C">
        <w:rPr>
          <w:rStyle w:val="a9"/>
          <w:rFonts w:eastAsiaTheme="minorHAnsi"/>
          <w:sz w:val="27"/>
          <w:szCs w:val="27"/>
        </w:rPr>
        <w:t>.</w:t>
      </w:r>
    </w:p>
    <w:p w:rsidR="00AD054A" w:rsidRPr="0006070C" w:rsidRDefault="00AD054A" w:rsidP="00AD054A">
      <w:pPr>
        <w:pStyle w:val="a3"/>
        <w:ind w:firstLine="709"/>
        <w:jc w:val="both"/>
        <w:rPr>
          <w:sz w:val="27"/>
          <w:szCs w:val="27"/>
        </w:rPr>
      </w:pPr>
      <w:r w:rsidRPr="0006070C">
        <w:rPr>
          <w:rStyle w:val="a9"/>
          <w:rFonts w:eastAsiaTheme="minorHAnsi"/>
          <w:sz w:val="27"/>
          <w:szCs w:val="27"/>
        </w:rPr>
        <w:t>Згідно зі ст</w:t>
      </w:r>
      <w:r w:rsidR="0006070C" w:rsidRPr="0006070C">
        <w:rPr>
          <w:rStyle w:val="a9"/>
          <w:rFonts w:eastAsiaTheme="minorHAnsi"/>
          <w:sz w:val="27"/>
          <w:szCs w:val="27"/>
        </w:rPr>
        <w:t xml:space="preserve">аттею </w:t>
      </w:r>
      <w:r w:rsidRPr="0006070C">
        <w:rPr>
          <w:rStyle w:val="a9"/>
          <w:rFonts w:eastAsiaTheme="minorHAnsi"/>
          <w:sz w:val="27"/>
          <w:szCs w:val="27"/>
        </w:rPr>
        <w:t>333 КПК у тому разі, якщо під час судового розгляду виникне необхідність у встановленні обставин або перевірці обставин, які мають істотне значення для кримінального провадження, і вони не можуть бути встановлені або перевірені іншим шляхом, суд за клопотанням сторони кримінального провадження має право доручити органу досудового розслідування провести певні слідчі (розшукові) дії.</w:t>
      </w:r>
    </w:p>
    <w:p w:rsidR="00AD054A" w:rsidRPr="0006070C" w:rsidRDefault="00AD054A" w:rsidP="00AD054A">
      <w:pPr>
        <w:pStyle w:val="a3"/>
        <w:ind w:firstLine="709"/>
        <w:jc w:val="both"/>
        <w:rPr>
          <w:rFonts w:ascii="Times New Roman" w:hAnsi="Times New Roman" w:cs="Times New Roman"/>
          <w:sz w:val="27"/>
          <w:szCs w:val="27"/>
        </w:rPr>
      </w:pPr>
      <w:r w:rsidRPr="0006070C">
        <w:rPr>
          <w:rFonts w:ascii="Times New Roman" w:hAnsi="Times New Roman" w:cs="Times New Roman"/>
          <w:sz w:val="27"/>
          <w:szCs w:val="27"/>
        </w:rPr>
        <w:t>На думку Національного антикорупційного бюро України запропоноване проектом надання стороні захисту можливості оскарження ухвали слідчого судді лише у разу відмови в задоволенні скарги створює необґрунтований вибірковий підхід до забезпечення доступу до правосуддя і розраховане на утруднення роботи судових та правоохоронних органів.</w:t>
      </w:r>
    </w:p>
    <w:p w:rsidR="00AD054A" w:rsidRPr="0006070C" w:rsidRDefault="00AD054A" w:rsidP="00AD054A">
      <w:pPr>
        <w:pStyle w:val="a7"/>
        <w:ind w:right="-2" w:firstLine="708"/>
        <w:jc w:val="both"/>
        <w:rPr>
          <w:sz w:val="27"/>
          <w:szCs w:val="27"/>
        </w:rPr>
      </w:pPr>
      <w:r w:rsidRPr="0006070C">
        <w:rPr>
          <w:sz w:val="27"/>
          <w:szCs w:val="27"/>
        </w:rPr>
        <w:t>Комітет Верховної Ради України з питань запобігання і протидії корупції не виявив у проекті акта корупціогенних факторів.</w:t>
      </w:r>
    </w:p>
    <w:p w:rsidR="001278A0" w:rsidRPr="0006070C" w:rsidRDefault="00C27082" w:rsidP="00C27082">
      <w:pPr>
        <w:ind w:firstLine="720"/>
        <w:jc w:val="both"/>
        <w:rPr>
          <w:color w:val="000000"/>
          <w:sz w:val="27"/>
          <w:szCs w:val="27"/>
        </w:rPr>
      </w:pPr>
      <w:r w:rsidRPr="0006070C">
        <w:rPr>
          <w:color w:val="000000"/>
          <w:sz w:val="27"/>
          <w:szCs w:val="27"/>
        </w:rPr>
        <w:t>Головне науково-експертне управління Апарату Верховної Ради України, розглянувши законопроект та висловивши свої зауваження, вважає</w:t>
      </w:r>
      <w:r w:rsidR="001278A0" w:rsidRPr="0006070C">
        <w:rPr>
          <w:color w:val="000000"/>
          <w:sz w:val="27"/>
          <w:szCs w:val="27"/>
        </w:rPr>
        <w:t xml:space="preserve"> за</w:t>
      </w:r>
      <w:r w:rsidRPr="0006070C">
        <w:rPr>
          <w:color w:val="000000"/>
          <w:sz w:val="27"/>
          <w:szCs w:val="27"/>
        </w:rPr>
        <w:t xml:space="preserve"> доцільн</w:t>
      </w:r>
      <w:r w:rsidR="001278A0" w:rsidRPr="0006070C">
        <w:rPr>
          <w:color w:val="000000"/>
          <w:sz w:val="27"/>
          <w:szCs w:val="27"/>
        </w:rPr>
        <w:t>е його відхилити.</w:t>
      </w:r>
    </w:p>
    <w:p w:rsidR="00023E69" w:rsidRPr="0006070C" w:rsidRDefault="00023E69" w:rsidP="00023E69">
      <w:pPr>
        <w:ind w:firstLine="709"/>
        <w:jc w:val="both"/>
        <w:rPr>
          <w:sz w:val="27"/>
          <w:szCs w:val="27"/>
        </w:rPr>
      </w:pPr>
      <w:r w:rsidRPr="0006070C">
        <w:rPr>
          <w:sz w:val="27"/>
          <w:szCs w:val="27"/>
        </w:rPr>
        <w:t xml:space="preserve">З огляду на зазначене, Комітет ухвалив рішення рекомендувати Верховній Раді України за результатами розгляду у першому читанні проект Закону України </w:t>
      </w:r>
      <w:r w:rsidR="001278A0" w:rsidRPr="0006070C">
        <w:rPr>
          <w:sz w:val="27"/>
          <w:szCs w:val="27"/>
        </w:rPr>
        <w:t>«Про внесення змін до Кримінального процесуального кодексу України щодо забезпечення засади змагальності»</w:t>
      </w:r>
      <w:r w:rsidRPr="0006070C">
        <w:rPr>
          <w:sz w:val="27"/>
          <w:szCs w:val="27"/>
        </w:rPr>
        <w:t xml:space="preserve"> (реєстр. № </w:t>
      </w:r>
      <w:r w:rsidR="001278A0" w:rsidRPr="0006070C">
        <w:rPr>
          <w:sz w:val="27"/>
          <w:szCs w:val="27"/>
        </w:rPr>
        <w:t>8280</w:t>
      </w:r>
      <w:r w:rsidRPr="0006070C">
        <w:rPr>
          <w:sz w:val="27"/>
          <w:szCs w:val="27"/>
        </w:rPr>
        <w:t>)</w:t>
      </w:r>
      <w:r w:rsidR="00F74AB2" w:rsidRPr="0006070C">
        <w:rPr>
          <w:sz w:val="27"/>
          <w:szCs w:val="27"/>
        </w:rPr>
        <w:t xml:space="preserve"> </w:t>
      </w:r>
      <w:r w:rsidR="00F74AB2" w:rsidRPr="0006070C">
        <w:rPr>
          <w:b/>
          <w:sz w:val="27"/>
          <w:szCs w:val="27"/>
        </w:rPr>
        <w:t>відхилити.</w:t>
      </w:r>
    </w:p>
    <w:p w:rsidR="00023E69" w:rsidRPr="0006070C" w:rsidRDefault="00023E69" w:rsidP="00023E69">
      <w:pPr>
        <w:ind w:firstLine="709"/>
        <w:jc w:val="both"/>
        <w:rPr>
          <w:sz w:val="27"/>
          <w:szCs w:val="27"/>
        </w:rPr>
      </w:pPr>
      <w:r w:rsidRPr="0006070C">
        <w:rPr>
          <w:sz w:val="27"/>
          <w:szCs w:val="27"/>
        </w:rPr>
        <w:t xml:space="preserve">Доповідачем </w:t>
      </w:r>
      <w:r w:rsidR="00F74AB2" w:rsidRPr="0006070C">
        <w:rPr>
          <w:sz w:val="27"/>
          <w:szCs w:val="27"/>
        </w:rPr>
        <w:t xml:space="preserve">від Комітету </w:t>
      </w:r>
      <w:r w:rsidRPr="0006070C">
        <w:rPr>
          <w:sz w:val="27"/>
          <w:szCs w:val="27"/>
        </w:rPr>
        <w:t xml:space="preserve">на пленарному засіданні Верховної Ради України визначено Голову Комітету </w:t>
      </w:r>
      <w:r w:rsidRPr="0006070C">
        <w:rPr>
          <w:spacing w:val="-4"/>
          <w:sz w:val="27"/>
          <w:szCs w:val="27"/>
        </w:rPr>
        <w:t>з питань законодавчого забезпечення правоохоронної діяльності народного депутата України А. Кожем’якіна.</w:t>
      </w:r>
    </w:p>
    <w:p w:rsidR="00023E69" w:rsidRPr="0006070C" w:rsidRDefault="00023E69" w:rsidP="00023E69">
      <w:pPr>
        <w:ind w:firstLine="709"/>
        <w:jc w:val="both"/>
        <w:rPr>
          <w:sz w:val="27"/>
          <w:szCs w:val="27"/>
        </w:rPr>
      </w:pPr>
      <w:r w:rsidRPr="0006070C">
        <w:rPr>
          <w:sz w:val="27"/>
          <w:szCs w:val="27"/>
        </w:rPr>
        <w:t>Проект постанови Верховної Ради України та необхідні матеріали додаються.</w:t>
      </w:r>
    </w:p>
    <w:p w:rsidR="00023E69" w:rsidRPr="0006070C" w:rsidRDefault="00023E69" w:rsidP="00023E69">
      <w:pPr>
        <w:ind w:firstLine="709"/>
        <w:jc w:val="both"/>
        <w:rPr>
          <w:sz w:val="27"/>
          <w:szCs w:val="27"/>
        </w:rPr>
      </w:pPr>
    </w:p>
    <w:p w:rsidR="00023E69" w:rsidRPr="0006070C" w:rsidRDefault="00023E69" w:rsidP="00023E69">
      <w:pPr>
        <w:ind w:firstLine="709"/>
        <w:jc w:val="both"/>
        <w:rPr>
          <w:sz w:val="27"/>
          <w:szCs w:val="27"/>
        </w:rPr>
      </w:pPr>
      <w:r w:rsidRPr="0006070C">
        <w:rPr>
          <w:sz w:val="27"/>
          <w:szCs w:val="27"/>
        </w:rPr>
        <w:t xml:space="preserve">Просимо розглянути.  </w:t>
      </w:r>
    </w:p>
    <w:p w:rsidR="00023E69" w:rsidRPr="0006070C" w:rsidRDefault="00023E69" w:rsidP="00023E69">
      <w:pPr>
        <w:ind w:firstLine="709"/>
        <w:jc w:val="both"/>
        <w:rPr>
          <w:sz w:val="27"/>
          <w:szCs w:val="27"/>
        </w:rPr>
      </w:pPr>
    </w:p>
    <w:p w:rsidR="00023E69" w:rsidRPr="0006070C" w:rsidRDefault="00023E69" w:rsidP="00023E69">
      <w:pPr>
        <w:ind w:firstLine="709"/>
        <w:jc w:val="both"/>
        <w:rPr>
          <w:sz w:val="27"/>
          <w:szCs w:val="27"/>
        </w:rPr>
      </w:pPr>
    </w:p>
    <w:p w:rsidR="00D11B13" w:rsidRDefault="00023E69" w:rsidP="0006070C">
      <w:pPr>
        <w:pStyle w:val="a4"/>
        <w:ind w:firstLine="0"/>
        <w:jc w:val="both"/>
      </w:pPr>
      <w:r w:rsidRPr="0006070C">
        <w:rPr>
          <w:rFonts w:ascii="Times New Roman" w:hAnsi="Times New Roman" w:cs="Times New Roman"/>
          <w:b/>
          <w:bCs/>
          <w:sz w:val="27"/>
          <w:szCs w:val="27"/>
        </w:rPr>
        <w:t xml:space="preserve">Голова Комітету                                                               </w:t>
      </w:r>
      <w:r w:rsidR="00F74AB2" w:rsidRPr="0006070C">
        <w:rPr>
          <w:rFonts w:ascii="Times New Roman" w:hAnsi="Times New Roman" w:cs="Times New Roman"/>
          <w:b/>
          <w:bCs/>
          <w:sz w:val="27"/>
          <w:szCs w:val="27"/>
        </w:rPr>
        <w:tab/>
        <w:t xml:space="preserve">      </w:t>
      </w:r>
      <w:r w:rsidR="0006070C">
        <w:rPr>
          <w:rFonts w:ascii="Times New Roman" w:hAnsi="Times New Roman" w:cs="Times New Roman"/>
          <w:b/>
          <w:bCs/>
          <w:sz w:val="27"/>
          <w:szCs w:val="27"/>
        </w:rPr>
        <w:t xml:space="preserve">              </w:t>
      </w:r>
      <w:r w:rsidRPr="0006070C">
        <w:rPr>
          <w:rFonts w:ascii="Times New Roman" w:hAnsi="Times New Roman" w:cs="Times New Roman"/>
          <w:b/>
          <w:bCs/>
          <w:sz w:val="27"/>
          <w:szCs w:val="27"/>
        </w:rPr>
        <w:t>А. Кожем’якін</w:t>
      </w:r>
    </w:p>
    <w:sectPr w:rsidR="00D11B13" w:rsidSect="001278A0">
      <w:footerReference w:type="default" r:id="rId6"/>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1DAD" w:rsidRDefault="00921DAD" w:rsidP="004E6961">
      <w:r>
        <w:separator/>
      </w:r>
    </w:p>
  </w:endnote>
  <w:endnote w:type="continuationSeparator" w:id="0">
    <w:p w:rsidR="00921DAD" w:rsidRDefault="00921DAD" w:rsidP="004E69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0537676"/>
      <w:docPartObj>
        <w:docPartGallery w:val="Page Numbers (Bottom of Page)"/>
        <w:docPartUnique/>
      </w:docPartObj>
    </w:sdtPr>
    <w:sdtEndPr/>
    <w:sdtContent>
      <w:p w:rsidR="004E6961" w:rsidRDefault="004E6961">
        <w:pPr>
          <w:pStyle w:val="a7"/>
          <w:jc w:val="right"/>
        </w:pPr>
        <w:r>
          <w:fldChar w:fldCharType="begin"/>
        </w:r>
        <w:r>
          <w:instrText>PAGE   \* MERGEFORMAT</w:instrText>
        </w:r>
        <w:r>
          <w:fldChar w:fldCharType="separate"/>
        </w:r>
        <w:r w:rsidR="00281B21">
          <w:rPr>
            <w:noProof/>
          </w:rPr>
          <w:t>1</w:t>
        </w:r>
        <w:r>
          <w:fldChar w:fldCharType="end"/>
        </w:r>
      </w:p>
    </w:sdtContent>
  </w:sdt>
  <w:p w:rsidR="004E6961" w:rsidRDefault="004E696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1DAD" w:rsidRDefault="00921DAD" w:rsidP="004E6961">
      <w:r>
        <w:separator/>
      </w:r>
    </w:p>
  </w:footnote>
  <w:footnote w:type="continuationSeparator" w:id="0">
    <w:p w:rsidR="00921DAD" w:rsidRDefault="00921DAD" w:rsidP="004E696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5EE"/>
    <w:rsid w:val="00023E69"/>
    <w:rsid w:val="0006070C"/>
    <w:rsid w:val="001278A0"/>
    <w:rsid w:val="0027555E"/>
    <w:rsid w:val="0027788E"/>
    <w:rsid w:val="00281B21"/>
    <w:rsid w:val="003F307E"/>
    <w:rsid w:val="004260D5"/>
    <w:rsid w:val="004E6961"/>
    <w:rsid w:val="0058179C"/>
    <w:rsid w:val="007465EE"/>
    <w:rsid w:val="00921DAD"/>
    <w:rsid w:val="00936C58"/>
    <w:rsid w:val="009C1D0A"/>
    <w:rsid w:val="00AD054A"/>
    <w:rsid w:val="00B236EF"/>
    <w:rsid w:val="00C27082"/>
    <w:rsid w:val="00C93961"/>
    <w:rsid w:val="00D11B13"/>
    <w:rsid w:val="00EC592A"/>
    <w:rsid w:val="00F74AB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A49DE5-B50A-453C-B988-C3FFD34CE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65EE"/>
    <w:pPr>
      <w:spacing w:after="0" w:line="240" w:lineRule="auto"/>
    </w:pPr>
    <w:rPr>
      <w:rFonts w:ascii="Times New Roman" w:eastAsia="Times New Roman" w:hAnsi="Times New Roman" w:cs="Times New Roman"/>
      <w:sz w:val="28"/>
      <w:szCs w:val="28"/>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11B13"/>
    <w:pPr>
      <w:spacing w:after="0" w:line="240" w:lineRule="auto"/>
    </w:pPr>
  </w:style>
  <w:style w:type="paragraph" w:customStyle="1" w:styleId="a4">
    <w:name w:val="Нормальний текст"/>
    <w:basedOn w:val="a"/>
    <w:rsid w:val="00023E69"/>
    <w:pPr>
      <w:spacing w:before="120"/>
      <w:ind w:firstLine="567"/>
    </w:pPr>
    <w:rPr>
      <w:rFonts w:ascii="Antiqua" w:hAnsi="Antiqua" w:cs="Antiqua"/>
      <w:sz w:val="26"/>
      <w:szCs w:val="26"/>
      <w:lang w:eastAsia="ru-RU"/>
    </w:rPr>
  </w:style>
  <w:style w:type="paragraph" w:styleId="a5">
    <w:name w:val="header"/>
    <w:basedOn w:val="a"/>
    <w:link w:val="a6"/>
    <w:uiPriority w:val="99"/>
    <w:unhideWhenUsed/>
    <w:rsid w:val="004E6961"/>
    <w:pPr>
      <w:tabs>
        <w:tab w:val="center" w:pos="4819"/>
        <w:tab w:val="right" w:pos="9639"/>
      </w:tabs>
    </w:pPr>
  </w:style>
  <w:style w:type="character" w:customStyle="1" w:styleId="a6">
    <w:name w:val="Верхній колонтитул Знак"/>
    <w:basedOn w:val="a0"/>
    <w:link w:val="a5"/>
    <w:uiPriority w:val="99"/>
    <w:rsid w:val="004E6961"/>
    <w:rPr>
      <w:rFonts w:ascii="Times New Roman" w:eastAsia="Times New Roman" w:hAnsi="Times New Roman" w:cs="Times New Roman"/>
      <w:sz w:val="28"/>
      <w:szCs w:val="28"/>
      <w:lang w:eastAsia="en-GB"/>
    </w:rPr>
  </w:style>
  <w:style w:type="paragraph" w:styleId="a7">
    <w:name w:val="footer"/>
    <w:basedOn w:val="a"/>
    <w:link w:val="a8"/>
    <w:uiPriority w:val="99"/>
    <w:unhideWhenUsed/>
    <w:rsid w:val="004E6961"/>
    <w:pPr>
      <w:tabs>
        <w:tab w:val="center" w:pos="4819"/>
        <w:tab w:val="right" w:pos="9639"/>
      </w:tabs>
    </w:pPr>
  </w:style>
  <w:style w:type="character" w:customStyle="1" w:styleId="a8">
    <w:name w:val="Нижній колонтитул Знак"/>
    <w:basedOn w:val="a0"/>
    <w:link w:val="a7"/>
    <w:uiPriority w:val="99"/>
    <w:rsid w:val="004E6961"/>
    <w:rPr>
      <w:rFonts w:ascii="Times New Roman" w:eastAsia="Times New Roman" w:hAnsi="Times New Roman" w:cs="Times New Roman"/>
      <w:sz w:val="28"/>
      <w:szCs w:val="28"/>
      <w:lang w:eastAsia="en-GB"/>
    </w:rPr>
  </w:style>
  <w:style w:type="character" w:customStyle="1" w:styleId="12">
    <w:name w:val="Основной текст (12)"/>
    <w:basedOn w:val="a0"/>
    <w:rsid w:val="0027788E"/>
    <w:rPr>
      <w:rFonts w:ascii="Times New Roman" w:eastAsia="Times New Roman" w:hAnsi="Times New Roman" w:cs="Times New Roman"/>
      <w:b w:val="0"/>
      <w:bCs w:val="0"/>
      <w:i w:val="0"/>
      <w:iCs w:val="0"/>
      <w:smallCaps w:val="0"/>
      <w:strike w:val="0"/>
      <w:color w:val="000000"/>
      <w:spacing w:val="0"/>
      <w:w w:val="100"/>
      <w:position w:val="0"/>
      <w:sz w:val="22"/>
      <w:szCs w:val="22"/>
      <w:u w:val="none"/>
      <w:lang w:val="uk-UA" w:eastAsia="uk-UA" w:bidi="uk-UA"/>
    </w:rPr>
  </w:style>
  <w:style w:type="character" w:customStyle="1" w:styleId="rvts0">
    <w:name w:val="rvts0"/>
    <w:uiPriority w:val="99"/>
    <w:rsid w:val="0027788E"/>
  </w:style>
  <w:style w:type="character" w:customStyle="1" w:styleId="a9">
    <w:name w:val="Основной текст"/>
    <w:basedOn w:val="a0"/>
    <w:rsid w:val="00AD054A"/>
    <w:rPr>
      <w:rFonts w:ascii="Times New Roman" w:eastAsia="Times New Roman" w:hAnsi="Times New Roman" w:cs="Times New Roman"/>
      <w:b w:val="0"/>
      <w:bCs w:val="0"/>
      <w:i w:val="0"/>
      <w:iCs w:val="0"/>
      <w:smallCaps w:val="0"/>
      <w:strike w:val="0"/>
      <w:color w:val="000000"/>
      <w:spacing w:val="0"/>
      <w:w w:val="100"/>
      <w:position w:val="0"/>
      <w:sz w:val="19"/>
      <w:szCs w:val="19"/>
      <w:u w:val="none"/>
      <w:lang w:val="uk-UA" w:eastAsia="uk-UA" w:bidi="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5375</Words>
  <Characters>3064</Characters>
  <Application>Microsoft Office Word</Application>
  <DocSecurity>0</DocSecurity>
  <Lines>25</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Карчемська Тетяна Миколаївна</dc:creator>
  <cp:keywords/>
  <dc:description/>
  <cp:lastModifiedBy>Карчемська Тетяна Миколаївна</cp:lastModifiedBy>
  <cp:revision>2</cp:revision>
  <dcterms:created xsi:type="dcterms:W3CDTF">2019-03-01T12:35:00Z</dcterms:created>
  <dcterms:modified xsi:type="dcterms:W3CDTF">2019-03-01T12:35:00Z</dcterms:modified>
</cp:coreProperties>
</file>