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40B" w:rsidRPr="000C6625" w:rsidRDefault="00BF340B" w:rsidP="00BF340B">
      <w:pPr>
        <w:pStyle w:val="HTML"/>
        <w:ind w:firstLine="720"/>
        <w:jc w:val="right"/>
        <w:rPr>
          <w:rFonts w:ascii="Times New Roman" w:hAnsi="Times New Roman" w:cs="Times New Roman"/>
          <w:b/>
          <w:bCs/>
          <w:sz w:val="28"/>
          <w:szCs w:val="28"/>
        </w:rPr>
      </w:pPr>
    </w:p>
    <w:p w:rsidR="00BF340B" w:rsidRPr="000C6625" w:rsidRDefault="00BF340B" w:rsidP="00BF340B">
      <w:pPr>
        <w:spacing w:after="0" w:line="240" w:lineRule="auto"/>
        <w:jc w:val="center"/>
        <w:rPr>
          <w:rFonts w:ascii="Times New Roman" w:hAnsi="Times New Roman"/>
          <w:b/>
          <w:bCs/>
          <w:noProof w:val="0"/>
          <w:sz w:val="28"/>
          <w:szCs w:val="28"/>
        </w:rPr>
      </w:pPr>
      <w:r w:rsidRPr="000C6625">
        <w:rPr>
          <w:rFonts w:ascii="Times New Roman" w:hAnsi="Times New Roman"/>
          <w:b/>
          <w:bCs/>
          <w:noProof w:val="0"/>
          <w:sz w:val="28"/>
          <w:szCs w:val="28"/>
        </w:rPr>
        <w:t>ПОРІВНЯЛЬНА ТАБЛИЦЯ</w:t>
      </w:r>
    </w:p>
    <w:p w:rsidR="00BF340B" w:rsidRPr="00AB7940" w:rsidRDefault="00BF340B" w:rsidP="00BF340B">
      <w:pPr>
        <w:spacing w:after="0" w:line="240" w:lineRule="auto"/>
        <w:jc w:val="center"/>
        <w:rPr>
          <w:rFonts w:ascii="Times New Roman" w:hAnsi="Times New Roman"/>
          <w:b/>
          <w:sz w:val="28"/>
          <w:szCs w:val="28"/>
        </w:rPr>
      </w:pPr>
      <w:r w:rsidRPr="00AB7940">
        <w:rPr>
          <w:rFonts w:ascii="Times New Roman" w:hAnsi="Times New Roman"/>
          <w:b/>
          <w:bCs/>
          <w:noProof w:val="0"/>
          <w:sz w:val="28"/>
          <w:szCs w:val="28"/>
        </w:rPr>
        <w:t xml:space="preserve">до проекту Закону України </w:t>
      </w:r>
      <w:r w:rsidRPr="00AB7940">
        <w:rPr>
          <w:rFonts w:ascii="Times New Roman" w:hAnsi="Times New Roman"/>
          <w:b/>
          <w:sz w:val="28"/>
          <w:szCs w:val="28"/>
        </w:rPr>
        <w:t>"</w:t>
      </w:r>
      <w:r w:rsidR="00AB7940">
        <w:rPr>
          <w:rFonts w:ascii="Times New Roman" w:hAnsi="Times New Roman"/>
          <w:b/>
          <w:sz w:val="28"/>
          <w:szCs w:val="28"/>
        </w:rPr>
        <w:t>Про</w:t>
      </w:r>
      <w:r w:rsidRPr="00AB7940">
        <w:rPr>
          <w:rFonts w:ascii="Times New Roman" w:hAnsi="Times New Roman"/>
          <w:b/>
          <w:sz w:val="28"/>
          <w:szCs w:val="28"/>
        </w:rPr>
        <w:t xml:space="preserve"> виконання Угоди між Україною та Королівством Нідерландів                             про міжнародне правове співробітництво щодо злочинів, пов</w:t>
      </w:r>
      <w:r w:rsidRPr="00AB7940">
        <w:rPr>
          <w:b/>
          <w:sz w:val="28"/>
          <w:szCs w:val="28"/>
        </w:rPr>
        <w:t>'</w:t>
      </w:r>
      <w:r w:rsidRPr="00AB7940">
        <w:rPr>
          <w:rFonts w:ascii="Times New Roman" w:hAnsi="Times New Roman"/>
          <w:b/>
          <w:sz w:val="28"/>
          <w:szCs w:val="28"/>
        </w:rPr>
        <w:t>язаних зі збиттям літака рейсу МН17                         Малайзійських авіаліній 17 липня 2014 року"</w:t>
      </w:r>
    </w:p>
    <w:p w:rsidR="00BF340B" w:rsidRDefault="00BF340B" w:rsidP="00BF340B">
      <w:pPr>
        <w:spacing w:after="120" w:line="240" w:lineRule="auto"/>
        <w:jc w:val="center"/>
        <w:rPr>
          <w:rFonts w:ascii="Times New Roman" w:hAnsi="Times New Roman"/>
          <w:b/>
          <w:sz w:val="28"/>
        </w:rPr>
      </w:pPr>
    </w:p>
    <w:tbl>
      <w:tblPr>
        <w:tblW w:w="1531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55"/>
        <w:gridCol w:w="7655"/>
      </w:tblGrid>
      <w:tr w:rsidR="00BF340B" w:rsidRPr="000C6625" w:rsidTr="00A6563E">
        <w:trPr>
          <w:trHeight w:val="990"/>
        </w:trPr>
        <w:tc>
          <w:tcPr>
            <w:tcW w:w="7655" w:type="dxa"/>
            <w:shd w:val="clear" w:color="auto" w:fill="auto"/>
            <w:vAlign w:val="center"/>
          </w:tcPr>
          <w:p w:rsidR="00BF340B" w:rsidRPr="000C6625" w:rsidRDefault="00BF340B" w:rsidP="00A6563E">
            <w:pPr>
              <w:spacing w:before="120" w:after="120" w:line="240" w:lineRule="auto"/>
              <w:jc w:val="center"/>
              <w:rPr>
                <w:rFonts w:ascii="Times New Roman" w:hAnsi="Times New Roman"/>
                <w:b/>
                <w:sz w:val="28"/>
                <w:szCs w:val="28"/>
              </w:rPr>
            </w:pPr>
            <w:r>
              <w:rPr>
                <w:rFonts w:ascii="Times New Roman" w:hAnsi="Times New Roman"/>
                <w:b/>
                <w:sz w:val="28"/>
                <w:szCs w:val="28"/>
              </w:rPr>
              <w:t>Чинна р</w:t>
            </w:r>
            <w:r w:rsidRPr="000C6625">
              <w:rPr>
                <w:rFonts w:ascii="Times New Roman" w:hAnsi="Times New Roman"/>
                <w:b/>
                <w:sz w:val="28"/>
                <w:szCs w:val="28"/>
              </w:rPr>
              <w:t>едакція</w:t>
            </w:r>
          </w:p>
        </w:tc>
        <w:tc>
          <w:tcPr>
            <w:tcW w:w="7655" w:type="dxa"/>
            <w:shd w:val="clear" w:color="auto" w:fill="auto"/>
            <w:vAlign w:val="center"/>
          </w:tcPr>
          <w:p w:rsidR="00BF340B" w:rsidRPr="000C6625" w:rsidRDefault="00BF340B" w:rsidP="00A6563E">
            <w:pPr>
              <w:spacing w:before="120" w:after="120" w:line="240" w:lineRule="auto"/>
              <w:jc w:val="center"/>
              <w:rPr>
                <w:rFonts w:ascii="Times New Roman" w:hAnsi="Times New Roman"/>
                <w:b/>
                <w:sz w:val="28"/>
                <w:szCs w:val="28"/>
              </w:rPr>
            </w:pPr>
            <w:r w:rsidRPr="000C6625">
              <w:rPr>
                <w:rFonts w:ascii="Times New Roman" w:hAnsi="Times New Roman"/>
                <w:b/>
                <w:sz w:val="28"/>
                <w:szCs w:val="28"/>
              </w:rPr>
              <w:t>Редакція з урахуванням пропонованих змін</w:t>
            </w:r>
          </w:p>
        </w:tc>
      </w:tr>
      <w:tr w:rsidR="00BF340B" w:rsidRPr="000C6625" w:rsidTr="00A6563E">
        <w:tc>
          <w:tcPr>
            <w:tcW w:w="15310" w:type="dxa"/>
            <w:gridSpan w:val="2"/>
          </w:tcPr>
          <w:p w:rsidR="00BF340B" w:rsidRPr="00517912" w:rsidRDefault="00BF340B" w:rsidP="00A6563E">
            <w:pPr>
              <w:pStyle w:val="1"/>
              <w:spacing w:before="120" w:after="120"/>
              <w:ind w:firstLine="125"/>
              <w:jc w:val="center"/>
              <w:rPr>
                <w:rFonts w:ascii="Times New Roman" w:hAnsi="Times New Roman"/>
                <w:b/>
                <w:color w:val="auto"/>
                <w:sz w:val="28"/>
                <w:u w:val="none"/>
              </w:rPr>
            </w:pPr>
            <w:bookmarkStart w:id="0" w:name="_Toc477422001"/>
            <w:r w:rsidRPr="000C6625">
              <w:rPr>
                <w:rFonts w:ascii="Times New Roman" w:hAnsi="Times New Roman"/>
                <w:b/>
                <w:color w:val="auto"/>
                <w:sz w:val="28"/>
                <w:u w:val="none"/>
              </w:rPr>
              <w:t>Кримінальний процесуальний кодекс України</w:t>
            </w:r>
            <w:bookmarkEnd w:id="0"/>
          </w:p>
        </w:tc>
      </w:tr>
      <w:tr w:rsidR="00BF340B" w:rsidRPr="00517912" w:rsidTr="00A6563E">
        <w:tc>
          <w:tcPr>
            <w:tcW w:w="7655" w:type="dxa"/>
            <w:tcBorders>
              <w:top w:val="single" w:sz="4" w:space="0" w:color="000000"/>
              <w:left w:val="single" w:sz="4" w:space="0" w:color="000000"/>
              <w:bottom w:val="single" w:sz="4" w:space="0" w:color="000000"/>
              <w:right w:val="single" w:sz="4" w:space="0" w:color="000000"/>
            </w:tcBorders>
          </w:tcPr>
          <w:p w:rsidR="00BF340B" w:rsidRPr="00BF340B" w:rsidRDefault="00BF340B" w:rsidP="00BF340B">
            <w:pPr>
              <w:tabs>
                <w:tab w:val="left" w:pos="7650"/>
              </w:tabs>
              <w:spacing w:before="120" w:after="120" w:line="240" w:lineRule="auto"/>
              <w:ind w:firstLine="493"/>
              <w:jc w:val="both"/>
              <w:rPr>
                <w:rStyle w:val="rvts9"/>
                <w:rFonts w:ascii="Times New Roman" w:hAnsi="Times New Roman"/>
                <w:bCs/>
                <w:color w:val="000000"/>
                <w:sz w:val="28"/>
                <w:szCs w:val="28"/>
                <w:shd w:val="clear" w:color="auto" w:fill="FFFFFF"/>
              </w:rPr>
            </w:pPr>
            <w:r w:rsidRPr="00BF340B">
              <w:rPr>
                <w:rStyle w:val="rvts9"/>
                <w:rFonts w:ascii="Times New Roman" w:hAnsi="Times New Roman"/>
                <w:bCs/>
                <w:color w:val="000000"/>
                <w:sz w:val="28"/>
                <w:szCs w:val="28"/>
                <w:shd w:val="clear" w:color="auto" w:fill="FFFFFF"/>
              </w:rPr>
              <w:t>20</w:t>
            </w:r>
            <w:r>
              <w:rPr>
                <w:rStyle w:val="rvts9"/>
                <w:rFonts w:ascii="Times New Roman" w:hAnsi="Times New Roman"/>
                <w:bCs/>
                <w:color w:val="000000"/>
                <w:sz w:val="28"/>
                <w:szCs w:val="28"/>
                <w:shd w:val="clear" w:color="auto" w:fill="FFFFFF"/>
              </w:rPr>
              <w:t>-</w:t>
            </w:r>
            <w:r w:rsidRPr="00BF340B">
              <w:rPr>
                <w:rStyle w:val="rvts9"/>
                <w:rFonts w:ascii="Times New Roman" w:hAnsi="Times New Roman"/>
                <w:bCs/>
                <w:color w:val="000000"/>
                <w:sz w:val="28"/>
                <w:szCs w:val="28"/>
                <w:shd w:val="clear" w:color="auto" w:fill="FFFFFF"/>
              </w:rPr>
              <w:t>1. Тимчасово, але не пізніше дня початку діяльності Державного бюро розслідувань (опублікування у газеті "Урядовий кур'єр" відповідного повідомлення його керівником):</w:t>
            </w:r>
          </w:p>
          <w:p w:rsidR="00FD4F24" w:rsidRPr="00FD4F24" w:rsidRDefault="00FD4F24" w:rsidP="00FD4F24">
            <w:pPr>
              <w:tabs>
                <w:tab w:val="left" w:pos="7650"/>
              </w:tabs>
              <w:spacing w:before="120" w:after="120" w:line="240" w:lineRule="auto"/>
              <w:ind w:firstLine="493"/>
              <w:jc w:val="both"/>
              <w:rPr>
                <w:rStyle w:val="rvts9"/>
                <w:rFonts w:ascii="Times New Roman" w:hAnsi="Times New Roman"/>
                <w:bCs/>
                <w:color w:val="000000"/>
                <w:sz w:val="28"/>
                <w:szCs w:val="28"/>
                <w:shd w:val="clear" w:color="auto" w:fill="FFFFFF"/>
              </w:rPr>
            </w:pPr>
            <w:r>
              <w:rPr>
                <w:rStyle w:val="rvts9"/>
                <w:rFonts w:ascii="Times New Roman" w:hAnsi="Times New Roman"/>
                <w:bCs/>
                <w:color w:val="000000"/>
                <w:sz w:val="28"/>
                <w:szCs w:val="28"/>
                <w:shd w:val="clear" w:color="auto" w:fill="FFFFFF"/>
              </w:rPr>
              <w:t xml:space="preserve"> </w:t>
            </w:r>
            <w:r w:rsidRPr="00FD4F24">
              <w:rPr>
                <w:rStyle w:val="rvts9"/>
                <w:rFonts w:ascii="Times New Roman" w:hAnsi="Times New Roman"/>
                <w:bCs/>
                <w:color w:val="000000"/>
                <w:sz w:val="28"/>
                <w:szCs w:val="28"/>
                <w:shd w:val="clear" w:color="auto" w:fill="FFFFFF"/>
              </w:rPr>
              <w:t xml:space="preserve">спеціальне досудове розслідування здійснюється на підставі ухвали слідчого судді у кримінальному провадженні щодо злочинів, передбачених статтями 109, 110, 110 2, 111, 112, 113, 114, 114 1, 115, частинами другою - п'ятою статті 191 (у випадку зловживання службовою особою своїм службовим становищем), статтями 209, 255 - 258, 258 1, 258 2, 258 3, 258 4, 258 5, 348, 364, 365, 368, 368 2, 379, 400, 436, 436 1, 437, 438, 439, 440, 441, 442, 443, 444, 446, 447 Кримінального кодексу України, стосовно підозрюваного, крім неповнолітнього, який переховується від органів слідства та суду з метою ухилення від кримінальної відповідальності та оголошений у міждержавний та/або міжнародний розшук, чи який понад шість місяців переховується від органів слідства та суду з метою ухилення від кримінальної відповідальності та/або стосовно якого наявні фактичні дані, що він перебуває за межами України, на тимчасово окупованій території України </w:t>
            </w:r>
            <w:r w:rsidRPr="00FD4F24">
              <w:rPr>
                <w:rStyle w:val="rvts9"/>
                <w:rFonts w:ascii="Times New Roman" w:hAnsi="Times New Roman"/>
                <w:bCs/>
                <w:color w:val="000000"/>
                <w:sz w:val="28"/>
                <w:szCs w:val="28"/>
                <w:shd w:val="clear" w:color="auto" w:fill="FFFFFF"/>
              </w:rPr>
              <w:lastRenderedPageBreak/>
              <w:t>або в районі проведення антитерористичної операції. Здійснення спеціального досудового розслідування щодо інших злочинів не допускається, крім випадків, коли злочини вчинені особами, які переховуються від органів слідства та суду з метою ухилення від кримінальної відповідальності та оголошені у міждержавний та/або міжнародний розшук, чи які понад шість місяців переховуються від органів слідства та суду з метою ухилення від кримінальної відповідальності та/або стосовно яких наявні фактичні дані, що вони перебувають за межами України, на тимчасово окупованій території України або в районі проведення антитерористичної операції, та вони розслідуються в одному кримінальному провадженні із злочинами, зазначеними у цьому абзаці, а виділення матеріалів щодо них може негативно вплинути на повноту досудового розслідування та судового розгляду.</w:t>
            </w:r>
          </w:p>
          <w:p w:rsidR="00FD4F24" w:rsidRPr="00FD4F24" w:rsidRDefault="00FD4F24" w:rsidP="00FD4F24">
            <w:pPr>
              <w:tabs>
                <w:tab w:val="left" w:pos="7650"/>
              </w:tabs>
              <w:spacing w:before="120"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Положення частини п'ятої статті 139 цього Кодексу у разі вчинення злочинів, визначених в абзаці другому цього пункту, поширюються також на осіб, які понад шість місяців переховуються від органів слідства та суду з метою ухилення від кримінальної відповідальності та/або стосовно яких наявні фактичні дані, що вони перебувають за межами України, на тимчасово окупованій території України або в районі проведення антитерористичної операції.</w:t>
            </w:r>
          </w:p>
          <w:p w:rsidR="00FD4F24" w:rsidRPr="00FD4F24" w:rsidRDefault="00FD4F24" w:rsidP="00FD4F24">
            <w:pPr>
              <w:tabs>
                <w:tab w:val="left" w:pos="7650"/>
              </w:tabs>
              <w:spacing w:before="120"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 xml:space="preserve">У клопотанні слідчого, прокурора про здійснення спеціального досудового розслідування мають також зазначатися фактичні дані про перебування особи за межами України, на тимчасово окупованій території України або в </w:t>
            </w:r>
            <w:r w:rsidRPr="00FD4F24">
              <w:rPr>
                <w:rStyle w:val="rvts9"/>
                <w:rFonts w:ascii="Times New Roman" w:hAnsi="Times New Roman"/>
                <w:bCs/>
                <w:color w:val="000000"/>
                <w:sz w:val="28"/>
                <w:szCs w:val="28"/>
                <w:shd w:val="clear" w:color="auto" w:fill="FFFFFF"/>
              </w:rPr>
              <w:lastRenderedPageBreak/>
              <w:t>районі проведення антитерористичної операції. Слідчий суддя може відмовити у задоволенні такого клопотання, якщо слідчий, прокурор не доведе, що підозрюваний переховується від органів слідства та суду з метою ухилення від кримінальної відповідальності та стосовно нього наявні фактичні дані про перебування за межами України, на тимчасово окупованій території України або в районі проведення антитерористичної операції. Повторне звернення з клопотанням про здійснення спеціального досудового розслідування до слідчого судді в одному кримінальному провадженні не допускається, крім наявності нових обставин, які підтверджують, що підозрюваний переховується від органів слідства та суду з метою ухилення від кримінальної відповідальності та стосовно нього наявні фактичні дані про перебування за межами України, на тимчасово окупованій території України або в районі проведення антитерористичної операції.</w:t>
            </w:r>
          </w:p>
          <w:p w:rsidR="00FD4F24" w:rsidRPr="00FD4F24" w:rsidRDefault="00FD4F24" w:rsidP="00FD4F24">
            <w:pPr>
              <w:tabs>
                <w:tab w:val="left" w:pos="7650"/>
              </w:tabs>
              <w:spacing w:before="120"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 xml:space="preserve">Судовий розгляд у кримінальному провадженні щодо злочинів, зазначених у частині другій статті 297 1 цього Кодексу, а також у цьому пункті, може здійснюватися за відсутності обвинуваченого (in absentia), крім неповнолітнього, який переховується від органів слідства та суду з метою ухилення від кримінальної відповідальності (спеціальне судове провадження) та оголошений у міждержавний та/або міжнародний розшук, чи який понад шість місяців переховується від органів слідства та суду з метою ухилення від кримінальної відповідальності та/або стосовно якого наявні фактичні дані, що він перебуває за </w:t>
            </w:r>
            <w:r w:rsidRPr="00FD4F24">
              <w:rPr>
                <w:rStyle w:val="rvts9"/>
                <w:rFonts w:ascii="Times New Roman" w:hAnsi="Times New Roman"/>
                <w:bCs/>
                <w:color w:val="000000"/>
                <w:sz w:val="28"/>
                <w:szCs w:val="28"/>
                <w:shd w:val="clear" w:color="auto" w:fill="FFFFFF"/>
              </w:rPr>
              <w:lastRenderedPageBreak/>
              <w:t>межами України, на тимчасово окупованій території України або в районі проведення антитерористичної операції.</w:t>
            </w:r>
          </w:p>
          <w:p w:rsidR="00FD4F24" w:rsidRPr="00FD4F24" w:rsidRDefault="00FD4F24" w:rsidP="00FD4F24">
            <w:pPr>
              <w:tabs>
                <w:tab w:val="left" w:pos="7650"/>
              </w:tabs>
              <w:spacing w:before="120"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Розгляд клопотань про здійснення спеціального досудового розслідування, спеціальне судове провадження щодо злочинів, зазначених у частині другій статті 297 1 цього Кодексу, а також у цьому пункті, здійснює суд за правилами підсудності, встановленими статтею 32 цього Кодексу.</w:t>
            </w:r>
          </w:p>
          <w:p w:rsidR="00FD4F24" w:rsidRPr="00FD4F24" w:rsidRDefault="00FD4F24" w:rsidP="00FD4F24">
            <w:pPr>
              <w:tabs>
                <w:tab w:val="left" w:pos="7650"/>
              </w:tabs>
              <w:spacing w:before="120"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Вимоги щодо особливостей застосування глави 24 1 цього Кодексу, передбачені цим пунктом, поширюються на кримінальні провадження, у яких підозрюваний, крім неповнолітнього, на момент звернення до суду з клопотанням про здійснення спеціального досудового розслідування або обвинувальним актом оголошений у міждержавний та/або міжнародний розшук, чи понад шість місяців переховується від органів слідства та суду з метою ухилення від кримінальної відповідальності та/або стосовно якого наявні фактичні відомості, що він перебуває за межами України, на тимчасово окупованій території України або в районі проведення антитерористичної операції.</w:t>
            </w:r>
          </w:p>
          <w:p w:rsidR="00BF340B" w:rsidRPr="00517912" w:rsidRDefault="00FD4F24" w:rsidP="00FD4F24">
            <w:pPr>
              <w:tabs>
                <w:tab w:val="left" w:pos="7650"/>
              </w:tabs>
              <w:spacing w:before="120" w:after="120" w:line="240" w:lineRule="auto"/>
              <w:ind w:firstLine="493"/>
              <w:jc w:val="both"/>
              <w:rPr>
                <w:rFonts w:ascii="Times New Roman" w:hAnsi="Times New Roman"/>
                <w:color w:val="000000"/>
                <w:sz w:val="28"/>
                <w:szCs w:val="28"/>
                <w:shd w:val="clear" w:color="auto" w:fill="FFFFFF"/>
              </w:rPr>
            </w:pPr>
            <w:r w:rsidRPr="00FD4F24">
              <w:rPr>
                <w:rStyle w:val="rvts9"/>
                <w:rFonts w:ascii="Times New Roman" w:hAnsi="Times New Roman"/>
                <w:bCs/>
                <w:color w:val="000000"/>
                <w:sz w:val="28"/>
                <w:szCs w:val="28"/>
                <w:shd w:val="clear" w:color="auto" w:fill="FFFFFF"/>
              </w:rPr>
              <w:t>Кримінальні провадження, у яких здійснювалося спеціальне досудове розслідування щодо злочинів, передбачених цим пунктом, і обвинувальні акти направлені до суду до спливу строку, передбаченого абзацом першим цього пункту, а так само кримінальні справи, які станом на цю дату перебувають на розгляді суду, розглядаються з урахуванням правил спеціального судового провадження та особливостей, визначених цим пунктом.</w:t>
            </w:r>
            <w:r w:rsidR="00BF340B">
              <w:rPr>
                <w:rStyle w:val="rvts9"/>
                <w:rFonts w:ascii="Times New Roman" w:hAnsi="Times New Roman"/>
                <w:bCs/>
                <w:color w:val="000000"/>
                <w:sz w:val="28"/>
                <w:szCs w:val="28"/>
                <w:shd w:val="clear" w:color="auto" w:fill="FFFFFF"/>
              </w:rPr>
              <w:t xml:space="preserve"> </w:t>
            </w:r>
          </w:p>
        </w:tc>
        <w:tc>
          <w:tcPr>
            <w:tcW w:w="7655" w:type="dxa"/>
            <w:tcBorders>
              <w:top w:val="single" w:sz="4" w:space="0" w:color="000000"/>
              <w:left w:val="single" w:sz="4" w:space="0" w:color="000000"/>
              <w:bottom w:val="single" w:sz="4" w:space="0" w:color="000000"/>
              <w:right w:val="single" w:sz="4" w:space="0" w:color="000000"/>
            </w:tcBorders>
          </w:tcPr>
          <w:p w:rsidR="00FD4F24" w:rsidRPr="00BF340B" w:rsidRDefault="00FD4F24" w:rsidP="00FD4F24">
            <w:pPr>
              <w:tabs>
                <w:tab w:val="left" w:pos="7650"/>
              </w:tabs>
              <w:spacing w:before="120" w:after="120" w:line="240" w:lineRule="auto"/>
              <w:ind w:firstLine="493"/>
              <w:jc w:val="both"/>
              <w:rPr>
                <w:rStyle w:val="rvts9"/>
                <w:rFonts w:ascii="Times New Roman" w:hAnsi="Times New Roman"/>
                <w:bCs/>
                <w:color w:val="000000"/>
                <w:sz w:val="28"/>
                <w:szCs w:val="28"/>
                <w:shd w:val="clear" w:color="auto" w:fill="FFFFFF"/>
              </w:rPr>
            </w:pPr>
            <w:r w:rsidRPr="00BF340B">
              <w:rPr>
                <w:rStyle w:val="rvts9"/>
                <w:rFonts w:ascii="Times New Roman" w:hAnsi="Times New Roman"/>
                <w:bCs/>
                <w:color w:val="000000"/>
                <w:sz w:val="28"/>
                <w:szCs w:val="28"/>
                <w:shd w:val="clear" w:color="auto" w:fill="FFFFFF"/>
              </w:rPr>
              <w:lastRenderedPageBreak/>
              <w:t>20</w:t>
            </w:r>
            <w:r>
              <w:rPr>
                <w:rStyle w:val="rvts9"/>
                <w:rFonts w:ascii="Times New Roman" w:hAnsi="Times New Roman"/>
                <w:bCs/>
                <w:color w:val="000000"/>
                <w:sz w:val="28"/>
                <w:szCs w:val="28"/>
                <w:shd w:val="clear" w:color="auto" w:fill="FFFFFF"/>
              </w:rPr>
              <w:t>-</w:t>
            </w:r>
            <w:r w:rsidRPr="00BF340B">
              <w:rPr>
                <w:rStyle w:val="rvts9"/>
                <w:rFonts w:ascii="Times New Roman" w:hAnsi="Times New Roman"/>
                <w:bCs/>
                <w:color w:val="000000"/>
                <w:sz w:val="28"/>
                <w:szCs w:val="28"/>
                <w:shd w:val="clear" w:color="auto" w:fill="FFFFFF"/>
              </w:rPr>
              <w:t>1. Тимчасово, але не пізніше дня початку діяльності Державного бюро розслідувань (опублікування у газеті "Урядовий кур'єр" відповідного повідомлення його керівником):</w:t>
            </w:r>
          </w:p>
          <w:p w:rsidR="00FD4F24" w:rsidRPr="00FD4F24" w:rsidRDefault="00FD4F24" w:rsidP="00FD4F24">
            <w:pPr>
              <w:tabs>
                <w:tab w:val="left" w:pos="7650"/>
              </w:tabs>
              <w:spacing w:before="120" w:after="120" w:line="240" w:lineRule="auto"/>
              <w:ind w:firstLine="493"/>
              <w:jc w:val="both"/>
              <w:rPr>
                <w:rStyle w:val="rvts9"/>
                <w:rFonts w:ascii="Times New Roman" w:hAnsi="Times New Roman"/>
                <w:bCs/>
                <w:color w:val="000000"/>
                <w:sz w:val="28"/>
                <w:szCs w:val="28"/>
                <w:shd w:val="clear" w:color="auto" w:fill="FFFFFF"/>
              </w:rPr>
            </w:pPr>
            <w:r>
              <w:rPr>
                <w:rStyle w:val="rvts9"/>
                <w:rFonts w:ascii="Times New Roman" w:hAnsi="Times New Roman"/>
                <w:bCs/>
                <w:color w:val="000000"/>
                <w:sz w:val="28"/>
                <w:szCs w:val="28"/>
                <w:shd w:val="clear" w:color="auto" w:fill="FFFFFF"/>
              </w:rPr>
              <w:t xml:space="preserve"> </w:t>
            </w:r>
            <w:r w:rsidRPr="00FD4F24">
              <w:rPr>
                <w:rStyle w:val="rvts9"/>
                <w:rFonts w:ascii="Times New Roman" w:hAnsi="Times New Roman"/>
                <w:bCs/>
                <w:color w:val="000000"/>
                <w:sz w:val="28"/>
                <w:szCs w:val="28"/>
                <w:shd w:val="clear" w:color="auto" w:fill="FFFFFF"/>
              </w:rPr>
              <w:t xml:space="preserve">спеціальне досудове розслідування здійснюється на підставі ухвали слідчого судді у кримінальному провадженні щодо злочинів, передбачених статтями 109, 110, 110 2, 111, 112, 113, 114, 114 1, 115, частинами другою - п'ятою статті 191 (у випадку зловживання службовою особою своїм службовим становищем), статтями 209, 255 - 258, 258 1, 258 2, 258 3, 258 4, 258 5, 348, 364, 365, 368, 368 2, 379, 400, 436, 436 1, 437, 438, 439, 440, 441, 442, 443, 444, 446, 447 Кримінального кодексу України, стосовно підозрюваного, крім неповнолітнього, який переховується від органів слідства та суду з метою ухилення від кримінальної відповідальності та оголошений у міждержавний та/або міжнародний розшук, чи який понад шість місяців переховується від органів слідства та суду з метою ухилення від кримінальної відповідальності та/або стосовно якого наявні фактичні дані, що він перебуває за межами України, на тимчасово окупованій території України </w:t>
            </w:r>
            <w:r w:rsidRPr="00FD4F24">
              <w:rPr>
                <w:rStyle w:val="rvts9"/>
                <w:rFonts w:ascii="Times New Roman" w:hAnsi="Times New Roman"/>
                <w:bCs/>
                <w:color w:val="000000"/>
                <w:sz w:val="28"/>
                <w:szCs w:val="28"/>
                <w:shd w:val="clear" w:color="auto" w:fill="FFFFFF"/>
              </w:rPr>
              <w:lastRenderedPageBreak/>
              <w:t>або в районі проведення антитерористичної операції. Здійснення спеціального досудового розслідування щодо інших злочинів не допускається, крім випадків, коли злочини вчинені особами, які переховуються від органів слідства та суду з метою ухилення від кримінальної відповідальності та оголошені у міждержавний та/або міжнародний розшук, чи які понад шість місяців переховуються від органів слідства та суду з метою ухилення від кримінальної відповідальності та/або стосовно яких наявні фактичні дані, що вони перебувають за межами України, на тимчасово окупованій території України або в районі проведення антитерористичної операції, та вони розслідуються в одному кримінальному провадженні із злочинами, зазначеними у цьому абзаці, а виділення матеріалів щодо них може негативно вплинути на повноту досудового розслідування та судового розгляду.</w:t>
            </w:r>
          </w:p>
          <w:p w:rsidR="00FD4F24" w:rsidRPr="00FD4F24" w:rsidRDefault="00FD4F24" w:rsidP="00FD4F24">
            <w:pPr>
              <w:tabs>
                <w:tab w:val="left" w:pos="7650"/>
              </w:tabs>
              <w:spacing w:before="120"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Положення частини п'ятої статті 139 цього Кодексу у разі вчинення злочинів, визначених в абзаці другому цього пункту, поширюються також на осіб, які понад шість місяців переховуються від органів слідства та суду з метою ухилення від кримінальної відповідальності та/або стосовно яких наявні фактичні дані, що вони перебувають за межами України, на тимчасово окупованій території України або в районі проведення антитерористичної операції.</w:t>
            </w:r>
          </w:p>
          <w:p w:rsidR="00FD4F24" w:rsidRPr="00FD4F24" w:rsidRDefault="00FD4F24" w:rsidP="00FD4F24">
            <w:pPr>
              <w:tabs>
                <w:tab w:val="left" w:pos="7650"/>
              </w:tabs>
              <w:spacing w:before="120"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 xml:space="preserve">У клопотанні слідчого, прокурора про здійснення спеціального досудового розслідування мають також зазначатися фактичні дані про перебування особи за межами України, на тимчасово окупованій території України або в </w:t>
            </w:r>
            <w:r w:rsidRPr="00FD4F24">
              <w:rPr>
                <w:rStyle w:val="rvts9"/>
                <w:rFonts w:ascii="Times New Roman" w:hAnsi="Times New Roman"/>
                <w:bCs/>
                <w:color w:val="000000"/>
                <w:sz w:val="28"/>
                <w:szCs w:val="28"/>
                <w:shd w:val="clear" w:color="auto" w:fill="FFFFFF"/>
              </w:rPr>
              <w:lastRenderedPageBreak/>
              <w:t>районі проведення антитерористичної операції. Слідчий суддя може відмовити у задоволенні такого клопотання, якщо слідчий, прокурор не доведе, що підозрюваний переховується від органів слідства та суду з метою ухилення від кримінальної відповідальності та стосовно нього наявні фактичні дані про перебування за межами України, на тимчасово окупованій території України або в районі проведення антитерористичної операції. Повторне звернення з клопотанням про здійснення спеціального досудового розслідування до слідчого судді в одному кримінальному провадженні не допускається, крім наявності нових обставин, які підтверджують, що підозрюваний переховується від органів слідства та суду з метою ухилення від кримінальної відповідальності та стосовно нього наявні фактичні дані про перебування за межами України, на тимчасово окупованій території України або в районі проведення антитерористичної операції.</w:t>
            </w:r>
          </w:p>
          <w:p w:rsidR="00FD4F24" w:rsidRPr="00FD4F24" w:rsidRDefault="00FD4F24" w:rsidP="00FD4F24">
            <w:pPr>
              <w:tabs>
                <w:tab w:val="left" w:pos="7650"/>
              </w:tabs>
              <w:spacing w:before="120"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 xml:space="preserve">Судовий розгляд у кримінальному провадженні щодо злочинів, зазначених у частині другій статті 297 1 цього Кодексу, а також у цьому пункті, може здійснюватися за відсутності обвинуваченого (in absentia), крім неповнолітнього, який переховується від органів слідства та суду з метою ухилення від кримінальної відповідальності (спеціальне судове провадження) та оголошений у міждержавний та/або міжнародний розшук, чи який понад шість місяців переховується від органів слідства та суду з метою ухилення від кримінальної відповідальності та/або стосовно якого наявні фактичні дані, що він перебуває за </w:t>
            </w:r>
            <w:r w:rsidRPr="00FD4F24">
              <w:rPr>
                <w:rStyle w:val="rvts9"/>
                <w:rFonts w:ascii="Times New Roman" w:hAnsi="Times New Roman"/>
                <w:bCs/>
                <w:color w:val="000000"/>
                <w:sz w:val="28"/>
                <w:szCs w:val="28"/>
                <w:shd w:val="clear" w:color="auto" w:fill="FFFFFF"/>
              </w:rPr>
              <w:lastRenderedPageBreak/>
              <w:t>межами України, на тимчасово окупованій території України або в районі проведення антитерористичної операції.</w:t>
            </w:r>
          </w:p>
          <w:p w:rsidR="00FD4F24" w:rsidRPr="00FD4F24" w:rsidRDefault="00FD4F24" w:rsidP="00FD4F24">
            <w:pPr>
              <w:tabs>
                <w:tab w:val="left" w:pos="7650"/>
              </w:tabs>
              <w:spacing w:before="120"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Розгляд клопотань про здійснення спеціального досудового розслідування, спеціальне судове провадження щодо злочинів, зазначених у частині другій статті 297 1 цього Кодексу, а також у цьому пункті, здійснює суд за правилами підсудності, встановленими статтею 32 цього Кодексу.</w:t>
            </w:r>
          </w:p>
          <w:p w:rsidR="00FD4F24" w:rsidRPr="00FD4F24" w:rsidRDefault="00FD4F24" w:rsidP="00FD4F24">
            <w:pPr>
              <w:tabs>
                <w:tab w:val="left" w:pos="7650"/>
              </w:tabs>
              <w:spacing w:before="120"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Вимоги щодо особливостей застосування глави 24 1 цього Кодексу, передбачені цим пунктом, поширюються на кримінальні провадження, у яких підозрюваний, крім неповнолітнього, на момент звернення до суду з клопотанням про здійснення спеціального досудового розслідування або обвинувальним актом оголошений у міждержавний та/або міжнародний розшук, чи понад шість місяців переховується від органів слідства та суду з метою ухилення від кримінальної відповідальності та/або стосовно якого наявні фактичні відомості, що він перебуває за межами України, на тимчасово окупованій території України або в районі проведення антитерористичної операції.</w:t>
            </w:r>
          </w:p>
          <w:p w:rsidR="005C4D9C" w:rsidRPr="00517912" w:rsidRDefault="00FD4F24" w:rsidP="00FD4F24">
            <w:pPr>
              <w:tabs>
                <w:tab w:val="left" w:pos="7650"/>
              </w:tabs>
              <w:spacing w:before="120" w:after="120" w:line="240" w:lineRule="auto"/>
              <w:ind w:right="-79" w:firstLine="459"/>
              <w:jc w:val="both"/>
              <w:rPr>
                <w:rFonts w:ascii="Times New Roman" w:hAnsi="Times New Roman"/>
                <w:color w:val="000000"/>
                <w:sz w:val="28"/>
                <w:szCs w:val="28"/>
                <w:shd w:val="clear" w:color="auto" w:fill="FFFFFF"/>
              </w:rPr>
            </w:pPr>
            <w:r w:rsidRPr="00FD4F24">
              <w:rPr>
                <w:rStyle w:val="rvts9"/>
                <w:rFonts w:ascii="Times New Roman" w:hAnsi="Times New Roman"/>
                <w:bCs/>
                <w:color w:val="000000"/>
                <w:sz w:val="28"/>
                <w:szCs w:val="28"/>
                <w:shd w:val="clear" w:color="auto" w:fill="FFFFFF"/>
              </w:rPr>
              <w:t>Кримінальні провадження, у яких здійснювалося спеціальне досудове розслідування щодо злочинів, передбачених цим пунктом, і обвинувальні акти направлені до суду до спливу строку, передбаченого абзацом першим цього пункту, а так само кримінальні справи, які станом на цю дату перебувають на розгляді суду, розглядаються з урахуванням правил спеціального судового провадження та особливостей, визначених цим пунктом.</w:t>
            </w:r>
          </w:p>
        </w:tc>
      </w:tr>
      <w:tr w:rsidR="00BF340B" w:rsidRPr="00517912" w:rsidTr="00A6563E">
        <w:tc>
          <w:tcPr>
            <w:tcW w:w="7655" w:type="dxa"/>
            <w:tcBorders>
              <w:top w:val="single" w:sz="4" w:space="0" w:color="000000"/>
              <w:left w:val="single" w:sz="4" w:space="0" w:color="000000"/>
              <w:bottom w:val="single" w:sz="4" w:space="0" w:color="000000"/>
              <w:right w:val="single" w:sz="4" w:space="0" w:color="000000"/>
            </w:tcBorders>
          </w:tcPr>
          <w:p w:rsidR="00BF340B" w:rsidRPr="00BF340B" w:rsidRDefault="00BF340B" w:rsidP="00BF340B">
            <w:pPr>
              <w:tabs>
                <w:tab w:val="left" w:pos="7650"/>
              </w:tabs>
              <w:spacing w:before="120" w:after="120" w:line="240" w:lineRule="auto"/>
              <w:ind w:firstLine="493"/>
              <w:jc w:val="both"/>
              <w:rPr>
                <w:rStyle w:val="rvts9"/>
                <w:rFonts w:ascii="Times New Roman" w:hAnsi="Times New Roman"/>
                <w:b/>
                <w:bCs/>
                <w:color w:val="000000"/>
                <w:sz w:val="28"/>
                <w:szCs w:val="28"/>
                <w:shd w:val="clear" w:color="auto" w:fill="FFFFFF"/>
              </w:rPr>
            </w:pPr>
            <w:r w:rsidRPr="00BF340B">
              <w:rPr>
                <w:rStyle w:val="rvts9"/>
                <w:rFonts w:ascii="Times New Roman" w:hAnsi="Times New Roman"/>
                <w:b/>
                <w:bCs/>
                <w:color w:val="000000"/>
                <w:sz w:val="28"/>
                <w:szCs w:val="28"/>
                <w:shd w:val="clear" w:color="auto" w:fill="FFFFFF"/>
              </w:rPr>
              <w:lastRenderedPageBreak/>
              <w:t>Відсутній</w:t>
            </w:r>
          </w:p>
        </w:tc>
        <w:tc>
          <w:tcPr>
            <w:tcW w:w="7655" w:type="dxa"/>
            <w:tcBorders>
              <w:top w:val="single" w:sz="4" w:space="0" w:color="000000"/>
              <w:left w:val="single" w:sz="4" w:space="0" w:color="000000"/>
              <w:bottom w:val="single" w:sz="4" w:space="0" w:color="000000"/>
              <w:right w:val="single" w:sz="4" w:space="0" w:color="000000"/>
            </w:tcBorders>
          </w:tcPr>
          <w:p w:rsidR="00BF340B" w:rsidRPr="005C4D9C" w:rsidRDefault="00BF340B" w:rsidP="00BF340B">
            <w:pPr>
              <w:spacing w:after="120" w:line="240" w:lineRule="auto"/>
              <w:ind w:firstLine="709"/>
              <w:jc w:val="both"/>
              <w:rPr>
                <w:rFonts w:ascii="Times New Roman" w:hAnsi="Times New Roman"/>
                <w:b/>
                <w:sz w:val="28"/>
                <w:szCs w:val="28"/>
              </w:rPr>
            </w:pPr>
            <w:r w:rsidRPr="005C4D9C">
              <w:rPr>
                <w:rFonts w:ascii="Times New Roman" w:hAnsi="Times New Roman"/>
                <w:b/>
                <w:sz w:val="28"/>
                <w:szCs w:val="28"/>
              </w:rPr>
              <w:t>20</w:t>
            </w:r>
            <w:r w:rsidR="005C4D9C" w:rsidRPr="005C4D9C">
              <w:rPr>
                <w:rFonts w:ascii="Times New Roman" w:hAnsi="Times New Roman"/>
                <w:b/>
                <w:sz w:val="28"/>
                <w:szCs w:val="28"/>
              </w:rPr>
              <w:t>-2</w:t>
            </w:r>
            <w:r w:rsidRPr="005C4D9C">
              <w:rPr>
                <w:rFonts w:ascii="Times New Roman" w:hAnsi="Times New Roman"/>
                <w:b/>
                <w:sz w:val="28"/>
                <w:szCs w:val="28"/>
              </w:rPr>
              <w:t xml:space="preserve">. Процесуальні дії у межах міжнародного співробітництва відповідно до Угоди між Україною та Королівством Нідерландів про міжнародне правове співробітництво щодо злочинів, пов'язаних зі збиттям літака рейсу МН17 Малайзійських авіаліній 17 липня </w:t>
            </w:r>
            <w:r w:rsidR="00AB7940">
              <w:rPr>
                <w:rFonts w:ascii="Times New Roman" w:hAnsi="Times New Roman"/>
                <w:b/>
                <w:sz w:val="28"/>
                <w:szCs w:val="28"/>
              </w:rPr>
              <w:t xml:space="preserve">               </w:t>
            </w:r>
            <w:r w:rsidRPr="005C4D9C">
              <w:rPr>
                <w:rFonts w:ascii="Times New Roman" w:hAnsi="Times New Roman"/>
                <w:b/>
                <w:sz w:val="28"/>
                <w:szCs w:val="28"/>
              </w:rPr>
              <w:t xml:space="preserve">2014 року, укладеної 7 липня 2017 року у м.Таллінні, провадяться в порядку, передбаченому цим Кодексом, з урахуванням особливостей, встановлених Законом України "Про виконання Угоди між Україною та Королівством Нідерландів про міжнародне правове співробітництво щодо злочинів, пов'язаних зі збиттям літака рейсу МН17 Малайзійських авіаліній 17 липня </w:t>
            </w:r>
            <w:r w:rsidR="00AB7940">
              <w:rPr>
                <w:rFonts w:ascii="Times New Roman" w:hAnsi="Times New Roman"/>
                <w:b/>
                <w:sz w:val="28"/>
                <w:szCs w:val="28"/>
              </w:rPr>
              <w:t xml:space="preserve"> </w:t>
            </w:r>
            <w:r w:rsidRPr="005C4D9C">
              <w:rPr>
                <w:rFonts w:ascii="Times New Roman" w:hAnsi="Times New Roman"/>
                <w:b/>
                <w:sz w:val="28"/>
                <w:szCs w:val="28"/>
              </w:rPr>
              <w:t>2014 року".</w:t>
            </w:r>
          </w:p>
          <w:p w:rsidR="00BF340B" w:rsidRDefault="00BF340B" w:rsidP="00BF340B">
            <w:pPr>
              <w:spacing w:after="120" w:line="240" w:lineRule="auto"/>
              <w:ind w:firstLine="709"/>
              <w:jc w:val="both"/>
              <w:rPr>
                <w:rFonts w:ascii="Times New Roman" w:hAnsi="Times New Roman"/>
                <w:b/>
                <w:sz w:val="28"/>
                <w:szCs w:val="28"/>
              </w:rPr>
            </w:pPr>
            <w:r w:rsidRPr="005C4D9C">
              <w:rPr>
                <w:rFonts w:ascii="Times New Roman" w:hAnsi="Times New Roman"/>
                <w:b/>
                <w:sz w:val="28"/>
                <w:szCs w:val="28"/>
              </w:rPr>
              <w:t xml:space="preserve">Кримінальні провадження щодо злочинів, зазначених у пункті "b" статті 1 Угоди між Україною та Королівством Нідерландів про міжнародне правове співробітництво щодо злочинів, пов'язаних зі збиттям літака рейсу МН17 Малайзійських авіаліній 17 липня </w:t>
            </w:r>
            <w:r w:rsidR="00AB7940">
              <w:rPr>
                <w:rFonts w:ascii="Times New Roman" w:hAnsi="Times New Roman"/>
                <w:b/>
                <w:sz w:val="28"/>
                <w:szCs w:val="28"/>
              </w:rPr>
              <w:t xml:space="preserve">  </w:t>
            </w:r>
            <w:r w:rsidRPr="005C4D9C">
              <w:rPr>
                <w:rFonts w:ascii="Times New Roman" w:hAnsi="Times New Roman"/>
                <w:b/>
                <w:sz w:val="28"/>
                <w:szCs w:val="28"/>
              </w:rPr>
              <w:t>2014 року, укладеної 7 липня 2017 року у м.Таллінні, здійснюються згідно з положеннями цього Кодексу з урахуванням положень пункту 4 § 2 розділу 4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w:t>
            </w:r>
            <w:r w:rsidR="005C4D9C">
              <w:rPr>
                <w:rFonts w:ascii="Times New Roman" w:hAnsi="Times New Roman"/>
                <w:b/>
                <w:sz w:val="28"/>
                <w:szCs w:val="28"/>
              </w:rPr>
              <w:t>їни та інших законодавчих актів</w:t>
            </w:r>
            <w:r w:rsidR="00AB7940" w:rsidRPr="005C4D9C">
              <w:rPr>
                <w:rFonts w:ascii="Times New Roman" w:hAnsi="Times New Roman"/>
                <w:b/>
                <w:sz w:val="28"/>
                <w:szCs w:val="28"/>
              </w:rPr>
              <w:t>"</w:t>
            </w:r>
            <w:r w:rsidRPr="005C4D9C">
              <w:rPr>
                <w:rFonts w:ascii="Times New Roman" w:hAnsi="Times New Roman"/>
                <w:b/>
                <w:sz w:val="28"/>
                <w:szCs w:val="28"/>
              </w:rPr>
              <w:t>.</w:t>
            </w:r>
          </w:p>
          <w:p w:rsidR="005C4D9C" w:rsidRPr="00BF340B" w:rsidRDefault="005C4D9C" w:rsidP="00BF340B">
            <w:pPr>
              <w:spacing w:after="120" w:line="240" w:lineRule="auto"/>
              <w:ind w:firstLine="709"/>
              <w:jc w:val="both"/>
              <w:rPr>
                <w:rStyle w:val="rvts9"/>
                <w:rFonts w:ascii="Times New Roman" w:hAnsi="Times New Roman"/>
                <w:sz w:val="28"/>
                <w:szCs w:val="28"/>
              </w:rPr>
            </w:pPr>
          </w:p>
        </w:tc>
      </w:tr>
      <w:tr w:rsidR="00BF340B" w:rsidRPr="00517912" w:rsidTr="00A6563E">
        <w:tc>
          <w:tcPr>
            <w:tcW w:w="7655" w:type="dxa"/>
            <w:tcBorders>
              <w:top w:val="single" w:sz="4" w:space="0" w:color="000000"/>
              <w:left w:val="single" w:sz="4" w:space="0" w:color="000000"/>
              <w:bottom w:val="single" w:sz="4" w:space="0" w:color="000000"/>
              <w:right w:val="single" w:sz="4" w:space="0" w:color="000000"/>
            </w:tcBorders>
          </w:tcPr>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lastRenderedPageBreak/>
              <w:t>21. Кабінету Міністрів України:</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1) у тримісячний строк з дня опублікування цього Кодексу:</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привести свої нормативно-правові акти у відповідність із цим Кодексом;</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забезпечити приведення нормативно-правових актів міністерств та інших центральних органів виконавчої влади України у відповідність із цим Кодексом;</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забезпечити підготовку та впровадження в юридичних вищих навчальних закладах нових навчальних програм з вивчення нового кримінального процесуального законодавства;</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2) у місячний строк з дня опублікування цього Кодексу внести на розгляд Верховної Ради України пропозиції щодо приведення законодавчих актів у відповідність із цим Кодексом, у тому числі з метою забезпечення фінансування:</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оснащення органів досудового розслідування електронними засобами контролю;</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створення та ведення Єдиного реєстру досудових розслідувань;</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обладнання органів досудового розслідування технічними засобами фіксування кримінального провадження і технічними засобами проведення дистанційного провадження в режимі відеоконференції;</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lastRenderedPageBreak/>
              <w:t>заміни у судах загальної юрисдикції металевих загороджень, які відокремлюють підсудних від складу суду і присутніх громадян, на загородження із скла чи органічного скла;</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обладнання залів судового засідання у необхідній кількості технічними засобами фіксування кримінального провадження та технічними засобами проведення дистанційного провадження в режимі відеоконференції у кількості не менше двох залів на кожний місцевий суд, не менше чотирьох залів на кожний апеляційний суд, не менше п'яти залів на Кримінальний касаційний суд, не менше п'яти залів на Велику Палату Верховного Суду;</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обладнання установ попереднього ув'язнення та установ виконання покарань технічними засобами проведення дистанційного провадження в режимі відеоконференції з судами у кількості не менше двох приміщень у кожній установі;</w:t>
            </w:r>
          </w:p>
          <w:p w:rsidR="00BF340B"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збільшення кількості суддів місцевих загальних судів та апарату цих судів у зв'язку з необхідністю забезпечення здійснення функцій слідчого судді.</w:t>
            </w:r>
            <w:r>
              <w:rPr>
                <w:rStyle w:val="rvts9"/>
                <w:rFonts w:ascii="Times New Roman" w:hAnsi="Times New Roman"/>
                <w:bCs/>
                <w:color w:val="000000"/>
                <w:sz w:val="28"/>
                <w:szCs w:val="28"/>
                <w:shd w:val="clear" w:color="auto" w:fill="FFFFFF"/>
              </w:rPr>
              <w:t xml:space="preserve"> </w:t>
            </w:r>
          </w:p>
        </w:tc>
        <w:tc>
          <w:tcPr>
            <w:tcW w:w="7655" w:type="dxa"/>
            <w:tcBorders>
              <w:top w:val="single" w:sz="4" w:space="0" w:color="000000"/>
              <w:left w:val="single" w:sz="4" w:space="0" w:color="000000"/>
              <w:bottom w:val="single" w:sz="4" w:space="0" w:color="000000"/>
              <w:right w:val="single" w:sz="4" w:space="0" w:color="000000"/>
            </w:tcBorders>
          </w:tcPr>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lastRenderedPageBreak/>
              <w:t>21. Кабінету Міністрів України:</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1) у тримісячний строк з дня опублікування цього Кодексу:</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привести свої нормативно-правові акти у відповідність із цим Кодексом;</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забезпечити приведення нормативно-правових актів міністерств та інших центральних органів виконавчої влади України у відповідність із цим Кодексом;</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забезпечити підготовку та впровадження в юридичних вищих навчальних закладах нових навчальних програм з вивчення нового кримінального процесуального законодавства;</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2) у місячний строк з дня опублікування цього Кодексу внести на розгляд Верховної Ради України пропозиції щодо приведення законодавчих актів у відповідність із цим Кодексом, у тому числі з метою забезпечення фінансування:</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оснащення органів досудового розслідування електронними засобами контролю;</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створення та ведення Єдиного реєстру досудових розслідувань;</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обладнання органів досудового розслідування технічними засобами фіксування кримінального провадження і технічними засобами проведення дистанційного провадження в режимі відеоконференції;</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lastRenderedPageBreak/>
              <w:t>заміни у судах загальної юрисдикції металевих загороджень, які відокремлюють підсудних від складу суду і присутніх громадян, на загородження із скла чи органічного скла;</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обладнання залів судового засідання у необхідній кількості технічними засобами фіксування кримінального провадження та технічними засобами проведення дистанційного провадження в режимі відеоконференції у кількості не менше двох залів на кожний місцевий суд, не менше чотирьох залів на кожний апеляційний суд, не менше п'яти залів на Кримінальний касаційний суд, не менше п'яти залів на Велику Палату Верховного Суду;</w:t>
            </w:r>
          </w:p>
          <w:p w:rsidR="00FD4F24" w:rsidRPr="00FD4F24" w:rsidRDefault="00FD4F24" w:rsidP="00FD4F24">
            <w:pPr>
              <w:tabs>
                <w:tab w:val="left" w:pos="7650"/>
              </w:tabs>
              <w:spacing w:after="120" w:line="240" w:lineRule="auto"/>
              <w:ind w:firstLine="493"/>
              <w:jc w:val="both"/>
              <w:rPr>
                <w:rStyle w:val="rvts9"/>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обладнання установ попереднього ув'язнення та установ виконання покарань технічними засобами проведення дистанційного провадження в режимі відеоконференції з судами у кількості не менше двох приміщень у кожній установі;</w:t>
            </w:r>
          </w:p>
          <w:p w:rsidR="00BF340B" w:rsidRPr="00FD4F24" w:rsidRDefault="00FD4F24" w:rsidP="00FD4F24">
            <w:pPr>
              <w:tabs>
                <w:tab w:val="left" w:pos="7650"/>
              </w:tabs>
              <w:spacing w:after="120" w:line="240" w:lineRule="auto"/>
              <w:ind w:firstLine="493"/>
              <w:jc w:val="both"/>
              <w:rPr>
                <w:rFonts w:ascii="Times New Roman" w:hAnsi="Times New Roman"/>
                <w:bCs/>
                <w:color w:val="000000"/>
                <w:sz w:val="28"/>
                <w:szCs w:val="28"/>
                <w:shd w:val="clear" w:color="auto" w:fill="FFFFFF"/>
              </w:rPr>
            </w:pPr>
            <w:r w:rsidRPr="00FD4F24">
              <w:rPr>
                <w:rStyle w:val="rvts9"/>
                <w:rFonts w:ascii="Times New Roman" w:hAnsi="Times New Roman"/>
                <w:bCs/>
                <w:color w:val="000000"/>
                <w:sz w:val="28"/>
                <w:szCs w:val="28"/>
                <w:shd w:val="clear" w:color="auto" w:fill="FFFFFF"/>
              </w:rPr>
              <w:t>збільшення кількості суддів місцевих загальних судів та апарату цих судів у зв'язку з необхідністю забезпечення здійснення функцій слідчого судді.</w:t>
            </w:r>
            <w:r>
              <w:rPr>
                <w:rStyle w:val="rvts9"/>
                <w:rFonts w:ascii="Times New Roman" w:hAnsi="Times New Roman"/>
                <w:bCs/>
                <w:color w:val="000000"/>
                <w:sz w:val="28"/>
                <w:szCs w:val="28"/>
                <w:shd w:val="clear" w:color="auto" w:fill="FFFFFF"/>
              </w:rPr>
              <w:t xml:space="preserve"> </w:t>
            </w:r>
          </w:p>
        </w:tc>
      </w:tr>
    </w:tbl>
    <w:p w:rsidR="00BF340B" w:rsidRDefault="00BF340B" w:rsidP="00BF340B">
      <w:pPr>
        <w:spacing w:after="0" w:line="240" w:lineRule="auto"/>
        <w:rPr>
          <w:rFonts w:ascii="Times New Roman" w:hAnsi="Times New Roman"/>
          <w:sz w:val="28"/>
          <w:szCs w:val="28"/>
        </w:rPr>
      </w:pPr>
    </w:p>
    <w:p w:rsidR="00FD4F24" w:rsidRDefault="00FD4F24" w:rsidP="00BF340B">
      <w:pPr>
        <w:spacing w:after="0" w:line="240" w:lineRule="auto"/>
        <w:rPr>
          <w:rFonts w:ascii="Times New Roman" w:hAnsi="Times New Roman"/>
          <w:sz w:val="28"/>
          <w:szCs w:val="28"/>
        </w:rPr>
      </w:pPr>
    </w:p>
    <w:p w:rsidR="00782994" w:rsidRDefault="00782994" w:rsidP="00BF340B">
      <w:pPr>
        <w:spacing w:after="0" w:line="240" w:lineRule="auto"/>
        <w:rPr>
          <w:rFonts w:ascii="Times New Roman" w:hAnsi="Times New Roman"/>
          <w:b/>
          <w:sz w:val="28"/>
          <w:szCs w:val="28"/>
        </w:rPr>
      </w:pPr>
      <w:r>
        <w:rPr>
          <w:rFonts w:ascii="Times New Roman" w:hAnsi="Times New Roman"/>
          <w:b/>
          <w:sz w:val="28"/>
          <w:szCs w:val="28"/>
        </w:rPr>
        <w:t xml:space="preserve">Заступник </w:t>
      </w:r>
      <w:r w:rsidR="00BF340B">
        <w:rPr>
          <w:rFonts w:ascii="Times New Roman" w:hAnsi="Times New Roman"/>
          <w:b/>
          <w:sz w:val="28"/>
          <w:szCs w:val="28"/>
        </w:rPr>
        <w:t>Директор</w:t>
      </w:r>
      <w:r>
        <w:rPr>
          <w:rFonts w:ascii="Times New Roman" w:hAnsi="Times New Roman"/>
          <w:b/>
          <w:sz w:val="28"/>
          <w:szCs w:val="28"/>
        </w:rPr>
        <w:t>а</w:t>
      </w:r>
    </w:p>
    <w:p w:rsidR="00BF340B" w:rsidRPr="00D778F4" w:rsidRDefault="00BF340B" w:rsidP="00BF340B">
      <w:pPr>
        <w:spacing w:after="0" w:line="240" w:lineRule="auto"/>
        <w:rPr>
          <w:rFonts w:ascii="Times New Roman" w:hAnsi="Times New Roman"/>
          <w:b/>
          <w:sz w:val="28"/>
          <w:szCs w:val="28"/>
        </w:rPr>
      </w:pPr>
      <w:r w:rsidRPr="00D778F4">
        <w:rPr>
          <w:rFonts w:ascii="Times New Roman" w:hAnsi="Times New Roman"/>
          <w:b/>
          <w:sz w:val="28"/>
          <w:szCs w:val="28"/>
        </w:rPr>
        <w:t xml:space="preserve">Департаменту міжнародного права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00782994">
        <w:rPr>
          <w:rFonts w:ascii="Times New Roman" w:hAnsi="Times New Roman"/>
          <w:b/>
          <w:sz w:val="28"/>
          <w:szCs w:val="28"/>
        </w:rPr>
        <w:t>К</w:t>
      </w:r>
      <w:r>
        <w:rPr>
          <w:rFonts w:ascii="Times New Roman" w:hAnsi="Times New Roman"/>
          <w:b/>
          <w:sz w:val="28"/>
          <w:szCs w:val="28"/>
        </w:rPr>
        <w:t>.</w:t>
      </w:r>
      <w:r w:rsidR="00782994">
        <w:rPr>
          <w:rFonts w:ascii="Times New Roman" w:hAnsi="Times New Roman"/>
          <w:b/>
          <w:sz w:val="28"/>
          <w:szCs w:val="28"/>
        </w:rPr>
        <w:t>Г</w:t>
      </w:r>
      <w:r>
        <w:rPr>
          <w:rFonts w:ascii="Times New Roman" w:hAnsi="Times New Roman"/>
          <w:b/>
          <w:sz w:val="28"/>
          <w:szCs w:val="28"/>
        </w:rPr>
        <w:t>.</w:t>
      </w:r>
      <w:r w:rsidR="00782994">
        <w:rPr>
          <w:rFonts w:ascii="Times New Roman" w:hAnsi="Times New Roman"/>
          <w:b/>
          <w:sz w:val="28"/>
          <w:szCs w:val="28"/>
        </w:rPr>
        <w:t>Шевченко</w:t>
      </w:r>
      <w:bookmarkStart w:id="1" w:name="_GoBack"/>
      <w:bookmarkEnd w:id="1"/>
    </w:p>
    <w:p w:rsidR="00C23CA5" w:rsidRDefault="00C23CA5"/>
    <w:sectPr w:rsidR="00C23CA5" w:rsidSect="004430E2">
      <w:headerReference w:type="default" r:id="rId6"/>
      <w:pgSz w:w="16838" w:h="11906" w:orient="landscape"/>
      <w:pgMar w:top="709"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303B" w:rsidRDefault="00AB7940">
      <w:pPr>
        <w:spacing w:after="0" w:line="240" w:lineRule="auto"/>
      </w:pPr>
      <w:r>
        <w:separator/>
      </w:r>
    </w:p>
  </w:endnote>
  <w:endnote w:type="continuationSeparator" w:id="0">
    <w:p w:rsidR="005F303B" w:rsidRDefault="00AB7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303B" w:rsidRDefault="00AB7940">
      <w:pPr>
        <w:spacing w:after="0" w:line="240" w:lineRule="auto"/>
      </w:pPr>
      <w:r>
        <w:separator/>
      </w:r>
    </w:p>
  </w:footnote>
  <w:footnote w:type="continuationSeparator" w:id="0">
    <w:p w:rsidR="005F303B" w:rsidRDefault="00AB79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912" w:rsidRPr="00517912" w:rsidRDefault="00EE55B3">
    <w:pPr>
      <w:pStyle w:val="a3"/>
      <w:jc w:val="center"/>
      <w:rPr>
        <w:rFonts w:ascii="Times New Roman" w:hAnsi="Times New Roman"/>
        <w:sz w:val="28"/>
        <w:szCs w:val="28"/>
      </w:rPr>
    </w:pPr>
    <w:r w:rsidRPr="00517912">
      <w:rPr>
        <w:rFonts w:ascii="Times New Roman" w:hAnsi="Times New Roman"/>
        <w:sz w:val="28"/>
        <w:szCs w:val="28"/>
      </w:rPr>
      <w:fldChar w:fldCharType="begin"/>
    </w:r>
    <w:r w:rsidRPr="00517912">
      <w:rPr>
        <w:rFonts w:ascii="Times New Roman" w:hAnsi="Times New Roman"/>
        <w:sz w:val="28"/>
        <w:szCs w:val="28"/>
      </w:rPr>
      <w:instrText>PAGE   \* MERGEFORMAT</w:instrText>
    </w:r>
    <w:r w:rsidRPr="00517912">
      <w:rPr>
        <w:rFonts w:ascii="Times New Roman" w:hAnsi="Times New Roman"/>
        <w:sz w:val="28"/>
        <w:szCs w:val="28"/>
      </w:rPr>
      <w:fldChar w:fldCharType="separate"/>
    </w:r>
    <w:r w:rsidR="00782994">
      <w:rPr>
        <w:rFonts w:ascii="Times New Roman" w:hAnsi="Times New Roman"/>
        <w:sz w:val="28"/>
        <w:szCs w:val="28"/>
      </w:rPr>
      <w:t>6</w:t>
    </w:r>
    <w:r w:rsidRPr="00517912">
      <w:rPr>
        <w:rFonts w:ascii="Times New Roman" w:hAnsi="Times New Roman"/>
        <w:sz w:val="28"/>
        <w:szCs w:val="28"/>
      </w:rPr>
      <w:fldChar w:fldCharType="end"/>
    </w:r>
  </w:p>
  <w:p w:rsidR="0076343A" w:rsidRDefault="0078299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40B"/>
    <w:rsid w:val="005C4D9C"/>
    <w:rsid w:val="005F303B"/>
    <w:rsid w:val="00782994"/>
    <w:rsid w:val="00AB7940"/>
    <w:rsid w:val="00BF340B"/>
    <w:rsid w:val="00C23CA5"/>
    <w:rsid w:val="00EE55B3"/>
    <w:rsid w:val="00FD4F2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A03DE"/>
  <w15:chartTrackingRefBased/>
  <w15:docId w15:val="{923FAFF9-EBA5-4C24-B63F-C26BB711F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340B"/>
    <w:pPr>
      <w:spacing w:after="200" w:line="276" w:lineRule="auto"/>
    </w:pPr>
    <w:rPr>
      <w:rFonts w:ascii="Calibri" w:eastAsia="Times New Roman" w:hAnsi="Calibri" w:cs="Times New Roman"/>
      <w:noProof/>
    </w:rPr>
  </w:style>
  <w:style w:type="paragraph" w:styleId="1">
    <w:name w:val="heading 1"/>
    <w:basedOn w:val="a"/>
    <w:next w:val="a"/>
    <w:link w:val="10"/>
    <w:qFormat/>
    <w:rsid w:val="00BF340B"/>
    <w:pPr>
      <w:keepNext/>
      <w:spacing w:after="0" w:line="240" w:lineRule="auto"/>
      <w:ind w:firstLine="126"/>
      <w:jc w:val="both"/>
      <w:outlineLvl w:val="0"/>
    </w:pPr>
    <w:rPr>
      <w:rFonts w:ascii="Verdana" w:hAnsi="Verdana"/>
      <w:snapToGrid w:val="0"/>
      <w:color w:val="008000"/>
      <w:sz w:val="20"/>
      <w:szCs w:val="28"/>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F340B"/>
    <w:rPr>
      <w:rFonts w:ascii="Verdana" w:eastAsia="Times New Roman" w:hAnsi="Verdana" w:cs="Times New Roman"/>
      <w:noProof/>
      <w:snapToGrid w:val="0"/>
      <w:color w:val="008000"/>
      <w:sz w:val="20"/>
      <w:szCs w:val="28"/>
      <w:u w:val="single"/>
      <w:lang w:eastAsia="ru-RU"/>
    </w:rPr>
  </w:style>
  <w:style w:type="paragraph" w:styleId="HTML">
    <w:name w:val="HTML Preformatted"/>
    <w:basedOn w:val="a"/>
    <w:link w:val="HTML0"/>
    <w:unhideWhenUsed/>
    <w:rsid w:val="00BF3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noProof w:val="0"/>
      <w:sz w:val="20"/>
      <w:szCs w:val="20"/>
      <w:lang w:eastAsia="uk-UA"/>
    </w:rPr>
  </w:style>
  <w:style w:type="character" w:customStyle="1" w:styleId="HTML0">
    <w:name w:val="Стандартний HTML Знак"/>
    <w:basedOn w:val="a0"/>
    <w:link w:val="HTML"/>
    <w:rsid w:val="00BF340B"/>
    <w:rPr>
      <w:rFonts w:ascii="Courier New" w:eastAsia="Times New Roman" w:hAnsi="Courier New" w:cs="Courier New"/>
      <w:sz w:val="20"/>
      <w:szCs w:val="20"/>
      <w:lang w:eastAsia="uk-UA"/>
    </w:rPr>
  </w:style>
  <w:style w:type="paragraph" w:customStyle="1" w:styleId="rvps2">
    <w:name w:val="rvps2"/>
    <w:basedOn w:val="a"/>
    <w:rsid w:val="00BF340B"/>
    <w:pPr>
      <w:spacing w:before="100" w:beforeAutospacing="1" w:after="100" w:afterAutospacing="1" w:line="240" w:lineRule="auto"/>
    </w:pPr>
    <w:rPr>
      <w:rFonts w:ascii="Times New Roman" w:hAnsi="Times New Roman"/>
      <w:noProof w:val="0"/>
      <w:sz w:val="24"/>
      <w:szCs w:val="24"/>
      <w:lang w:val="ru-RU" w:eastAsia="ru-RU"/>
    </w:rPr>
  </w:style>
  <w:style w:type="character" w:customStyle="1" w:styleId="rvts9">
    <w:name w:val="rvts9"/>
    <w:basedOn w:val="a0"/>
    <w:rsid w:val="00BF340B"/>
  </w:style>
  <w:style w:type="character" w:customStyle="1" w:styleId="apple-converted-space">
    <w:name w:val="apple-converted-space"/>
    <w:basedOn w:val="a0"/>
    <w:rsid w:val="00BF340B"/>
  </w:style>
  <w:style w:type="paragraph" w:styleId="a3">
    <w:name w:val="header"/>
    <w:basedOn w:val="a"/>
    <w:link w:val="a4"/>
    <w:uiPriority w:val="99"/>
    <w:unhideWhenUsed/>
    <w:rsid w:val="00BF340B"/>
    <w:pPr>
      <w:tabs>
        <w:tab w:val="center" w:pos="4677"/>
        <w:tab w:val="right" w:pos="9355"/>
      </w:tabs>
    </w:pPr>
  </w:style>
  <w:style w:type="character" w:customStyle="1" w:styleId="a4">
    <w:name w:val="Верхній колонтитул Знак"/>
    <w:basedOn w:val="a0"/>
    <w:link w:val="a3"/>
    <w:uiPriority w:val="99"/>
    <w:rsid w:val="00BF340B"/>
    <w:rPr>
      <w:rFonts w:ascii="Calibri" w:eastAsia="Times New Roman" w:hAnsi="Calibri" w:cs="Times New Roman"/>
      <w:noProof/>
    </w:rPr>
  </w:style>
  <w:style w:type="paragraph" w:styleId="a5">
    <w:name w:val="Balloon Text"/>
    <w:basedOn w:val="a"/>
    <w:link w:val="a6"/>
    <w:uiPriority w:val="99"/>
    <w:semiHidden/>
    <w:unhideWhenUsed/>
    <w:rsid w:val="005C4D9C"/>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5C4D9C"/>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7</Pages>
  <Words>10671</Words>
  <Characters>6083</Characters>
  <Application>Microsoft Office Word</Application>
  <DocSecurity>0</DocSecurity>
  <Lines>50</Lines>
  <Paragraphs>33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Марченко Людмила Іванівна</dc:creator>
  <cp:keywords/>
  <dc:description/>
  <cp:lastModifiedBy>Дацун Тетяна Олександрівна</cp:lastModifiedBy>
  <cp:revision>3</cp:revision>
  <cp:lastPrinted>2018-06-19T09:24:00Z</cp:lastPrinted>
  <dcterms:created xsi:type="dcterms:W3CDTF">2018-06-19T08:56:00Z</dcterms:created>
  <dcterms:modified xsi:type="dcterms:W3CDTF">2018-07-02T14:32:00Z</dcterms:modified>
</cp:coreProperties>
</file>