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6D0" w:rsidRPr="001E5F24" w:rsidRDefault="001646D0">
      <w:pPr>
        <w:rPr>
          <w:sz w:val="28"/>
          <w:szCs w:val="28"/>
        </w:rPr>
      </w:pPr>
      <w:bookmarkStart w:id="0" w:name="_GoBack"/>
      <w:bookmarkEnd w:id="0"/>
    </w:p>
    <w:p w:rsidR="00BE3A08" w:rsidRPr="001E5F24" w:rsidRDefault="00BE3A08">
      <w:pPr>
        <w:rPr>
          <w:sz w:val="28"/>
          <w:szCs w:val="28"/>
        </w:rPr>
      </w:pPr>
    </w:p>
    <w:p w:rsidR="00BE3A08" w:rsidRPr="001E5F24" w:rsidRDefault="00BE3A08">
      <w:pPr>
        <w:rPr>
          <w:sz w:val="28"/>
          <w:szCs w:val="28"/>
        </w:rPr>
      </w:pPr>
    </w:p>
    <w:p w:rsidR="00BE3A08" w:rsidRPr="001E5F24" w:rsidRDefault="00BE3A08" w:rsidP="00BE3A08">
      <w:pPr>
        <w:pStyle w:val="Nazva"/>
        <w:rPr>
          <w:szCs w:val="28"/>
          <w:lang w:val="uk-UA"/>
        </w:rPr>
      </w:pPr>
    </w:p>
    <w:p w:rsidR="00BE3A08" w:rsidRDefault="00BE3A08" w:rsidP="00BE3A08">
      <w:pPr>
        <w:pStyle w:val="Nazva"/>
        <w:rPr>
          <w:szCs w:val="28"/>
          <w:lang w:val="uk-UA"/>
        </w:rPr>
      </w:pPr>
    </w:p>
    <w:p w:rsidR="001E5F24" w:rsidRPr="001E5F24" w:rsidRDefault="001E5F24" w:rsidP="00BE3A08">
      <w:pPr>
        <w:pStyle w:val="Nazva"/>
        <w:rPr>
          <w:szCs w:val="28"/>
          <w:lang w:val="uk-UA"/>
        </w:rPr>
      </w:pPr>
    </w:p>
    <w:p w:rsidR="00BE3A08" w:rsidRPr="001E5F24" w:rsidRDefault="00BE3A08" w:rsidP="00BE3A08">
      <w:pPr>
        <w:pStyle w:val="Nazva"/>
        <w:rPr>
          <w:szCs w:val="28"/>
          <w:lang w:val="uk-UA"/>
        </w:rPr>
      </w:pPr>
    </w:p>
    <w:p w:rsidR="001763B5" w:rsidRDefault="001763B5" w:rsidP="00BE3A08">
      <w:pPr>
        <w:pStyle w:val="Nazva"/>
        <w:rPr>
          <w:szCs w:val="28"/>
          <w:lang w:val="uk-UA"/>
        </w:rPr>
      </w:pPr>
    </w:p>
    <w:p w:rsidR="00BE3A08" w:rsidRPr="001E5F24" w:rsidRDefault="00BE3A08" w:rsidP="00BE3A08">
      <w:pPr>
        <w:pStyle w:val="Nazva"/>
        <w:rPr>
          <w:szCs w:val="28"/>
          <w:lang w:val="uk-UA"/>
        </w:rPr>
      </w:pPr>
      <w:r w:rsidRPr="001E5F24">
        <w:rPr>
          <w:szCs w:val="28"/>
          <w:lang w:val="uk-UA"/>
        </w:rPr>
        <w:t>ВИСНОВОК</w:t>
      </w:r>
    </w:p>
    <w:p w:rsidR="00BE3A08" w:rsidRPr="001E5F24" w:rsidRDefault="00BE3A08" w:rsidP="00BE3A08">
      <w:pPr>
        <w:jc w:val="center"/>
        <w:rPr>
          <w:b/>
          <w:sz w:val="28"/>
          <w:szCs w:val="28"/>
        </w:rPr>
      </w:pPr>
      <w:r w:rsidRPr="001E5F24">
        <w:rPr>
          <w:b/>
          <w:sz w:val="28"/>
          <w:szCs w:val="28"/>
        </w:rPr>
        <w:t xml:space="preserve">на проект Закону України «Про внесення змін до Закону України </w:t>
      </w:r>
    </w:p>
    <w:p w:rsidR="00BE3A08" w:rsidRPr="001E5F24" w:rsidRDefault="00BE3A08" w:rsidP="00BE3A08">
      <w:pPr>
        <w:jc w:val="center"/>
        <w:rPr>
          <w:b/>
          <w:sz w:val="28"/>
          <w:szCs w:val="28"/>
          <w:lang w:eastAsia="en-US"/>
        </w:rPr>
      </w:pPr>
      <w:r w:rsidRPr="001E5F24">
        <w:rPr>
          <w:b/>
          <w:sz w:val="28"/>
          <w:szCs w:val="28"/>
        </w:rPr>
        <w:t>«Про засудження комуністичного та націонал-соціалістичного (нацистського) тоталітарних режимів в Україні та заборону пропаганди їхньої символіки» (щодо засудження та заборони «російського світу» («руского міра») в Україні)»</w:t>
      </w:r>
    </w:p>
    <w:p w:rsidR="00BE3A08" w:rsidRPr="001E5F24" w:rsidRDefault="001D4D29" w:rsidP="00BE3A08">
      <w:pPr>
        <w:pStyle w:val="Nazva"/>
        <w:rPr>
          <w:b w:val="0"/>
          <w:i/>
          <w:szCs w:val="28"/>
          <w:lang w:val="uk-UA"/>
        </w:rPr>
      </w:pPr>
      <w:r>
        <w:rPr>
          <w:b w:val="0"/>
          <w:i/>
          <w:szCs w:val="28"/>
          <w:lang w:val="uk-UA"/>
        </w:rPr>
        <w:t>(реєстр. № 9</w:t>
      </w:r>
      <w:r w:rsidRPr="00881806">
        <w:rPr>
          <w:b w:val="0"/>
          <w:i/>
          <w:szCs w:val="28"/>
          <w:lang w:val="uk-UA"/>
        </w:rPr>
        <w:t>1</w:t>
      </w:r>
      <w:r w:rsidR="00BE3A08" w:rsidRPr="001E5F24">
        <w:rPr>
          <w:b w:val="0"/>
          <w:i/>
          <w:szCs w:val="28"/>
          <w:lang w:val="uk-UA"/>
        </w:rPr>
        <w:t>39 від 28.09.2018 р.)</w:t>
      </w:r>
    </w:p>
    <w:p w:rsidR="00BE3A08" w:rsidRPr="001E5F24" w:rsidRDefault="00BE3A08" w:rsidP="00BE3A08">
      <w:pPr>
        <w:pStyle w:val="Nazva"/>
        <w:rPr>
          <w:b w:val="0"/>
          <w:i/>
          <w:szCs w:val="28"/>
          <w:lang w:val="uk-UA"/>
        </w:rPr>
      </w:pPr>
    </w:p>
    <w:p w:rsidR="00740007" w:rsidRPr="001E5F24" w:rsidRDefault="00740007" w:rsidP="002046A8">
      <w:pPr>
        <w:ind w:firstLine="720"/>
        <w:jc w:val="both"/>
        <w:rPr>
          <w:sz w:val="28"/>
          <w:szCs w:val="28"/>
          <w:lang w:eastAsia="ru-RU"/>
        </w:rPr>
      </w:pPr>
      <w:r w:rsidRPr="00740007">
        <w:rPr>
          <w:sz w:val="28"/>
          <w:szCs w:val="28"/>
          <w:lang w:eastAsia="ru-RU"/>
        </w:rPr>
        <w:t>Головне науково-експертне управління розглянуло поданий законопроект, який передбачає внесення до Закону України «</w:t>
      </w:r>
      <w:r w:rsidRPr="001E5F24">
        <w:rPr>
          <w:sz w:val="28"/>
          <w:szCs w:val="28"/>
        </w:rPr>
        <w:t>Про засудження комуністичного та націонал-соціалістичного (нацистського) тоталітарних режимів в Україні та заборону пропаганди їхньої символіки»</w:t>
      </w:r>
      <w:r w:rsidRPr="00740007">
        <w:rPr>
          <w:sz w:val="28"/>
          <w:szCs w:val="28"/>
          <w:lang w:eastAsia="ru-RU"/>
        </w:rPr>
        <w:t xml:space="preserve">» (далі – Закон) низки змін з метою </w:t>
      </w:r>
      <w:r w:rsidRPr="001E5F24">
        <w:rPr>
          <w:sz w:val="28"/>
          <w:szCs w:val="28"/>
          <w:lang w:eastAsia="ru-RU"/>
        </w:rPr>
        <w:t>«</w:t>
      </w:r>
      <w:r w:rsidRPr="00740007">
        <w:rPr>
          <w:rFonts w:eastAsia="Calibri"/>
          <w:sz w:val="28"/>
          <w:szCs w:val="28"/>
          <w:lang w:eastAsia="ru-RU"/>
        </w:rPr>
        <w:t>засудження «російського світу» («руского міра») як форми націонал-соціалізму (нацизму) як ключового концепту російської національної ідеї, яка є ідеологічнім виправданням російського шовінізму, імперіалізму і військової агресії проти країн-сусідів</w:t>
      </w:r>
      <w:r w:rsidRPr="001E5F24">
        <w:rPr>
          <w:rFonts w:eastAsia="Calibri"/>
          <w:sz w:val="28"/>
          <w:szCs w:val="28"/>
          <w:lang w:eastAsia="ru-RU"/>
        </w:rPr>
        <w:t>»</w:t>
      </w:r>
      <w:r w:rsidRPr="001E5F24">
        <w:rPr>
          <w:sz w:val="28"/>
          <w:szCs w:val="28"/>
          <w:lang w:eastAsia="ru-RU"/>
        </w:rPr>
        <w:t xml:space="preserve"> </w:t>
      </w:r>
      <w:r w:rsidRPr="00740007">
        <w:rPr>
          <w:sz w:val="28"/>
          <w:szCs w:val="28"/>
          <w:lang w:eastAsia="ru-RU"/>
        </w:rPr>
        <w:t>(п. 2 пояснювальної записки).</w:t>
      </w:r>
    </w:p>
    <w:p w:rsidR="00740007" w:rsidRDefault="00740007" w:rsidP="00740007">
      <w:pPr>
        <w:ind w:firstLine="720"/>
        <w:jc w:val="both"/>
        <w:rPr>
          <w:rFonts w:eastAsia="Calibri"/>
          <w:sz w:val="28"/>
          <w:szCs w:val="28"/>
          <w:lang w:eastAsia="ru-RU"/>
        </w:rPr>
      </w:pPr>
      <w:r w:rsidRPr="001E5F24">
        <w:rPr>
          <w:sz w:val="28"/>
          <w:szCs w:val="28"/>
          <w:lang w:eastAsia="ru-RU"/>
        </w:rPr>
        <w:lastRenderedPageBreak/>
        <w:t>На думку суб’єкт</w:t>
      </w:r>
      <w:r w:rsidR="00A64140">
        <w:rPr>
          <w:sz w:val="28"/>
          <w:szCs w:val="28"/>
          <w:lang w:eastAsia="ru-RU"/>
        </w:rPr>
        <w:t>ів права</w:t>
      </w:r>
      <w:r w:rsidRPr="001E5F24">
        <w:rPr>
          <w:sz w:val="28"/>
          <w:szCs w:val="28"/>
          <w:lang w:eastAsia="ru-RU"/>
        </w:rPr>
        <w:t xml:space="preserve"> законодавчої ініціативи</w:t>
      </w:r>
      <w:r w:rsidR="00E33BB8">
        <w:rPr>
          <w:sz w:val="28"/>
          <w:szCs w:val="28"/>
          <w:lang w:eastAsia="ru-RU"/>
        </w:rPr>
        <w:t>,</w:t>
      </w:r>
      <w:r w:rsidRPr="001E5F24">
        <w:rPr>
          <w:sz w:val="28"/>
          <w:szCs w:val="28"/>
          <w:lang w:eastAsia="ru-RU"/>
        </w:rPr>
        <w:t xml:space="preserve"> «п</w:t>
      </w:r>
      <w:r w:rsidRPr="00740007">
        <w:rPr>
          <w:rFonts w:eastAsia="Calibri"/>
          <w:sz w:val="28"/>
          <w:szCs w:val="28"/>
          <w:lang w:eastAsia="ru-RU"/>
        </w:rPr>
        <w:t>рийняття законопроекту забезпечить зменшення впливу Російської Федерації на внутрішню політику нашої держави та створить передумови для унеможливлення агітаційно-пропагандистської діяльності ворож</w:t>
      </w:r>
      <w:r w:rsidRPr="001E5F24">
        <w:rPr>
          <w:rFonts w:eastAsia="Calibri"/>
          <w:sz w:val="28"/>
          <w:szCs w:val="28"/>
          <w:lang w:eastAsia="ru-RU"/>
        </w:rPr>
        <w:t>е налаштованих до України осіб</w:t>
      </w:r>
      <w:r w:rsidR="008D0168">
        <w:rPr>
          <w:rFonts w:eastAsia="Calibri"/>
          <w:sz w:val="28"/>
          <w:szCs w:val="28"/>
          <w:lang w:eastAsia="ru-RU"/>
        </w:rPr>
        <w:t>» (п. 6 пояснювальної записки).</w:t>
      </w:r>
    </w:p>
    <w:p w:rsidR="008D0168" w:rsidRPr="008D0168" w:rsidRDefault="008D0168" w:rsidP="00740007">
      <w:pPr>
        <w:ind w:firstLine="720"/>
        <w:jc w:val="both"/>
        <w:rPr>
          <w:rFonts w:eastAsia="Calibri"/>
          <w:sz w:val="28"/>
          <w:szCs w:val="28"/>
          <w:lang w:eastAsia="ru-RU"/>
        </w:rPr>
      </w:pPr>
      <w:r w:rsidRPr="008D0168">
        <w:rPr>
          <w:rFonts w:eastAsia="Calibri"/>
          <w:sz w:val="28"/>
          <w:szCs w:val="28"/>
          <w:lang w:eastAsia="ru-RU"/>
        </w:rPr>
        <w:t>За результатами розгляду даного законопроекту вважаємо за необхідне висловити наступні міркування та зауваження:</w:t>
      </w:r>
    </w:p>
    <w:p w:rsidR="005E611E" w:rsidRPr="001E5F24" w:rsidRDefault="008D0168" w:rsidP="008D0168">
      <w:pPr>
        <w:ind w:firstLine="708"/>
        <w:jc w:val="both"/>
        <w:rPr>
          <w:b/>
          <w:sz w:val="28"/>
          <w:szCs w:val="28"/>
        </w:rPr>
      </w:pPr>
      <w:r w:rsidRPr="008D0168">
        <w:rPr>
          <w:b/>
          <w:sz w:val="28"/>
          <w:szCs w:val="28"/>
        </w:rPr>
        <w:t>1.</w:t>
      </w:r>
      <w:r>
        <w:rPr>
          <w:sz w:val="28"/>
          <w:szCs w:val="28"/>
        </w:rPr>
        <w:t xml:space="preserve"> </w:t>
      </w:r>
      <w:r w:rsidR="005E611E" w:rsidRPr="008D0168">
        <w:rPr>
          <w:sz w:val="28"/>
          <w:szCs w:val="28"/>
        </w:rPr>
        <w:t xml:space="preserve">Викликає сумнів спосіб правового вирішення проблеми інформаційного впливу іншої держави </w:t>
      </w:r>
      <w:r w:rsidR="00A64140">
        <w:rPr>
          <w:sz w:val="28"/>
          <w:szCs w:val="28"/>
        </w:rPr>
        <w:t>шляхом</w:t>
      </w:r>
      <w:r w:rsidR="005E611E" w:rsidRPr="008D0168">
        <w:rPr>
          <w:sz w:val="28"/>
          <w:szCs w:val="28"/>
        </w:rPr>
        <w:t xml:space="preserve"> внесення змін до Закону, який зорієнтовано на оцінку явищ, які мали місце в минулому. </w:t>
      </w:r>
      <w:r>
        <w:rPr>
          <w:sz w:val="28"/>
          <w:szCs w:val="28"/>
        </w:rPr>
        <w:t>На наш погляд, з</w:t>
      </w:r>
      <w:r w:rsidR="005E611E" w:rsidRPr="001E5F24">
        <w:rPr>
          <w:sz w:val="28"/>
          <w:szCs w:val="28"/>
        </w:rPr>
        <w:t>міни, які пропонується внести до Закону</w:t>
      </w:r>
      <w:r w:rsidR="00E33BB8">
        <w:rPr>
          <w:sz w:val="28"/>
          <w:szCs w:val="28"/>
        </w:rPr>
        <w:t>,</w:t>
      </w:r>
      <w:r w:rsidR="005E611E" w:rsidRPr="001E5F24">
        <w:rPr>
          <w:sz w:val="28"/>
          <w:szCs w:val="28"/>
        </w:rPr>
        <w:t xml:space="preserve"> </w:t>
      </w:r>
      <w:r w:rsidR="005E611E" w:rsidRPr="001E5F24">
        <w:rPr>
          <w:rStyle w:val="rvts23"/>
          <w:sz w:val="28"/>
          <w:szCs w:val="28"/>
        </w:rPr>
        <w:t xml:space="preserve">не відповідають основному предмету його регулювання, оскільки цей Закон є </w:t>
      </w:r>
      <w:r w:rsidR="005E611E" w:rsidRPr="001E5F24">
        <w:rPr>
          <w:sz w:val="28"/>
          <w:szCs w:val="28"/>
        </w:rPr>
        <w:t>частиною законодавства про декомунізацію</w:t>
      </w:r>
      <w:r w:rsidR="005E611E" w:rsidRPr="001E5F24">
        <w:rPr>
          <w:rStyle w:val="rvts23"/>
          <w:sz w:val="28"/>
          <w:szCs w:val="28"/>
        </w:rPr>
        <w:t xml:space="preserve"> і</w:t>
      </w:r>
      <w:r w:rsidR="00E33BB8">
        <w:rPr>
          <w:rStyle w:val="rvts23"/>
          <w:sz w:val="28"/>
          <w:szCs w:val="28"/>
        </w:rPr>
        <w:t>,</w:t>
      </w:r>
      <w:r w:rsidR="005E611E" w:rsidRPr="001E5F24">
        <w:rPr>
          <w:rStyle w:val="rvts23"/>
          <w:sz w:val="28"/>
          <w:szCs w:val="28"/>
        </w:rPr>
        <w:t xml:space="preserve"> перш за все</w:t>
      </w:r>
      <w:r w:rsidR="00E33BB8">
        <w:rPr>
          <w:rStyle w:val="rvts23"/>
          <w:sz w:val="28"/>
          <w:szCs w:val="28"/>
        </w:rPr>
        <w:t>,</w:t>
      </w:r>
      <w:r w:rsidR="005E611E" w:rsidRPr="001E5F24">
        <w:rPr>
          <w:rStyle w:val="rvts23"/>
          <w:sz w:val="28"/>
          <w:szCs w:val="28"/>
        </w:rPr>
        <w:t xml:space="preserve"> спрямований на </w:t>
      </w:r>
      <w:r w:rsidR="005E611E" w:rsidRPr="001E5F24">
        <w:rPr>
          <w:sz w:val="28"/>
          <w:szCs w:val="28"/>
          <w:u w:val="single"/>
        </w:rPr>
        <w:t>засудження</w:t>
      </w:r>
      <w:r w:rsidR="005E611E" w:rsidRPr="001E5F24">
        <w:rPr>
          <w:sz w:val="28"/>
          <w:szCs w:val="28"/>
        </w:rPr>
        <w:t xml:space="preserve"> </w:t>
      </w:r>
      <w:r w:rsidR="005E611E" w:rsidRPr="001E5F24">
        <w:rPr>
          <w:sz w:val="28"/>
          <w:szCs w:val="28"/>
          <w:u w:val="single"/>
        </w:rPr>
        <w:t>комуністичного тоталітарного режиму 1917-1991 років в Україні та нацистського тоталітарного режим</w:t>
      </w:r>
      <w:r w:rsidR="00E33BB8">
        <w:rPr>
          <w:sz w:val="28"/>
          <w:szCs w:val="28"/>
          <w:u w:val="single"/>
        </w:rPr>
        <w:t>у</w:t>
      </w:r>
      <w:r w:rsidR="005E611E" w:rsidRPr="001E5F24">
        <w:rPr>
          <w:sz w:val="28"/>
          <w:szCs w:val="28"/>
          <w:u w:val="single"/>
        </w:rPr>
        <w:t xml:space="preserve"> 1941-1945 років</w:t>
      </w:r>
      <w:r w:rsidR="005E611E" w:rsidRPr="001E5F24">
        <w:rPr>
          <w:sz w:val="28"/>
          <w:szCs w:val="28"/>
        </w:rPr>
        <w:t xml:space="preserve">,  </w:t>
      </w:r>
      <w:r w:rsidR="005E611E" w:rsidRPr="001E5F24">
        <w:rPr>
          <w:rStyle w:val="rvts0"/>
          <w:sz w:val="28"/>
          <w:szCs w:val="28"/>
        </w:rPr>
        <w:t>закріплення правових основ заборони пропаганди їх символіки та встановлення порядку ліквідації символів комуністичного тоталітарного режиму</w:t>
      </w:r>
      <w:r w:rsidR="005E611E" w:rsidRPr="001E5F24">
        <w:rPr>
          <w:sz w:val="28"/>
          <w:szCs w:val="28"/>
        </w:rPr>
        <w:t xml:space="preserve">. Натомість, як випливає з пояснювальної записки до </w:t>
      </w:r>
      <w:r w:rsidR="001E5F24" w:rsidRPr="001E5F24">
        <w:rPr>
          <w:sz w:val="28"/>
          <w:szCs w:val="28"/>
        </w:rPr>
        <w:t>законопроекту</w:t>
      </w:r>
      <w:r w:rsidR="005E611E" w:rsidRPr="001E5F24">
        <w:rPr>
          <w:sz w:val="28"/>
          <w:szCs w:val="28"/>
        </w:rPr>
        <w:t>, положення, якими пропонується доповнити Закон</w:t>
      </w:r>
      <w:r w:rsidR="00A64140">
        <w:rPr>
          <w:sz w:val="28"/>
          <w:szCs w:val="28"/>
        </w:rPr>
        <w:t>,</w:t>
      </w:r>
      <w:r w:rsidR="005E611E" w:rsidRPr="001E5F24">
        <w:rPr>
          <w:sz w:val="28"/>
          <w:szCs w:val="28"/>
        </w:rPr>
        <w:t xml:space="preserve"> стосуються </w:t>
      </w:r>
      <w:r w:rsidR="005E611E" w:rsidRPr="001E5F24">
        <w:rPr>
          <w:sz w:val="28"/>
          <w:szCs w:val="28"/>
          <w:u w:val="single"/>
        </w:rPr>
        <w:t>засудження</w:t>
      </w:r>
      <w:r w:rsidR="00316514" w:rsidRPr="001E5F24">
        <w:rPr>
          <w:sz w:val="28"/>
          <w:szCs w:val="28"/>
          <w:u w:val="single"/>
        </w:rPr>
        <w:t xml:space="preserve"> та заборони не певного політичного режиму, а ідеології</w:t>
      </w:r>
      <w:r w:rsidR="005E611E" w:rsidRPr="001E5F24">
        <w:rPr>
          <w:sz w:val="28"/>
          <w:szCs w:val="28"/>
          <w:u w:val="single"/>
        </w:rPr>
        <w:t xml:space="preserve"> </w:t>
      </w:r>
      <w:r w:rsidR="00316514" w:rsidRPr="001E5F24">
        <w:rPr>
          <w:sz w:val="28"/>
          <w:szCs w:val="28"/>
          <w:u w:val="single"/>
          <w:shd w:val="clear" w:color="auto" w:fill="FFFFFF"/>
        </w:rPr>
        <w:t>так званої концепції «руського міра»</w:t>
      </w:r>
      <w:r w:rsidR="00316514" w:rsidRPr="001E5F24">
        <w:rPr>
          <w:sz w:val="28"/>
          <w:szCs w:val="28"/>
          <w:shd w:val="clear" w:color="auto" w:fill="FFFFFF"/>
        </w:rPr>
        <w:t xml:space="preserve"> </w:t>
      </w:r>
      <w:r w:rsidR="005E611E" w:rsidRPr="001E5F24">
        <w:rPr>
          <w:sz w:val="28"/>
          <w:szCs w:val="28"/>
        </w:rPr>
        <w:t>держави-агресора</w:t>
      </w:r>
      <w:r w:rsidR="005E611E" w:rsidRPr="001E5F24">
        <w:rPr>
          <w:sz w:val="28"/>
          <w:szCs w:val="28"/>
          <w:shd w:val="clear" w:color="auto" w:fill="FFFFFF"/>
        </w:rPr>
        <w:t xml:space="preserve"> </w:t>
      </w:r>
      <w:r w:rsidR="00316514" w:rsidRPr="001E5F24">
        <w:rPr>
          <w:sz w:val="28"/>
          <w:szCs w:val="28"/>
          <w:shd w:val="clear" w:color="auto" w:fill="FFFFFF"/>
        </w:rPr>
        <w:t>«</w:t>
      </w:r>
      <w:r w:rsidR="00316514" w:rsidRPr="001E5F24">
        <w:rPr>
          <w:sz w:val="28"/>
          <w:szCs w:val="28"/>
        </w:rPr>
        <w:t>як форми націонал-соціалізму (нацизму) як ключового концепту російської національної ідеї, яка є ідеологічнім виправданням російського шовінізму, імперіалізму і військової агресії проти країн-сусідів» (п. 2)</w:t>
      </w:r>
      <w:r w:rsidR="001E5F24" w:rsidRPr="001E5F24">
        <w:rPr>
          <w:sz w:val="28"/>
          <w:szCs w:val="28"/>
        </w:rPr>
        <w:t>,</w:t>
      </w:r>
      <w:r w:rsidR="005E611E" w:rsidRPr="001E5F24">
        <w:rPr>
          <w:sz w:val="28"/>
          <w:szCs w:val="28"/>
          <w:shd w:val="clear" w:color="auto" w:fill="FFFFFF"/>
        </w:rPr>
        <w:t xml:space="preserve"> що </w:t>
      </w:r>
      <w:r w:rsidR="005E611E" w:rsidRPr="001E5F24">
        <w:rPr>
          <w:sz w:val="28"/>
          <w:szCs w:val="28"/>
        </w:rPr>
        <w:t>певним чином нівелює</w:t>
      </w:r>
      <w:r w:rsidR="005E611E" w:rsidRPr="001E5F24">
        <w:rPr>
          <w:rStyle w:val="30"/>
          <w:sz w:val="28"/>
          <w:szCs w:val="28"/>
        </w:rPr>
        <w:t xml:space="preserve"> </w:t>
      </w:r>
      <w:r w:rsidR="005E611E" w:rsidRPr="001E5F24">
        <w:rPr>
          <w:sz w:val="28"/>
          <w:szCs w:val="28"/>
        </w:rPr>
        <w:t>концепцію</w:t>
      </w:r>
      <w:r w:rsidR="00A64140">
        <w:rPr>
          <w:sz w:val="28"/>
          <w:szCs w:val="28"/>
        </w:rPr>
        <w:t xml:space="preserve">, на якій побудовано чинний </w:t>
      </w:r>
      <w:r w:rsidR="005E611E" w:rsidRPr="001E5F24">
        <w:rPr>
          <w:rStyle w:val="st"/>
          <w:sz w:val="28"/>
          <w:szCs w:val="28"/>
        </w:rPr>
        <w:t>З</w:t>
      </w:r>
      <w:r w:rsidR="005E611E" w:rsidRPr="001E5F24">
        <w:rPr>
          <w:sz w:val="28"/>
          <w:szCs w:val="28"/>
        </w:rPr>
        <w:t xml:space="preserve">акон. </w:t>
      </w:r>
    </w:p>
    <w:p w:rsidR="001E5F24" w:rsidRPr="001E5F24" w:rsidRDefault="001E5F24" w:rsidP="001E5F24">
      <w:pPr>
        <w:pStyle w:val="3"/>
        <w:spacing w:before="0" w:beforeAutospacing="0" w:after="0" w:afterAutospacing="0"/>
        <w:ind w:firstLine="709"/>
        <w:jc w:val="both"/>
        <w:rPr>
          <w:b w:val="0"/>
          <w:sz w:val="28"/>
          <w:szCs w:val="28"/>
        </w:rPr>
      </w:pPr>
      <w:r w:rsidRPr="001E5F24">
        <w:rPr>
          <w:b w:val="0"/>
          <w:sz w:val="28"/>
          <w:szCs w:val="28"/>
        </w:rPr>
        <w:lastRenderedPageBreak/>
        <w:t xml:space="preserve">На думку </w:t>
      </w:r>
      <w:r w:rsidR="00A64140">
        <w:rPr>
          <w:b w:val="0"/>
          <w:sz w:val="28"/>
          <w:szCs w:val="28"/>
        </w:rPr>
        <w:t>Головного у</w:t>
      </w:r>
      <w:r w:rsidRPr="001E5F24">
        <w:rPr>
          <w:b w:val="0"/>
          <w:sz w:val="28"/>
          <w:szCs w:val="28"/>
        </w:rPr>
        <w:t xml:space="preserve">правління, питання, які порушуються у поданому законопроекті, в переважній більшості є складовою частиною інформаційної безпеки України в контексті протидії ворожій ідеології держави-агресора – РФ, яка анексувала АРК та м. Севастополь, окупувала частину території України та </w:t>
      </w:r>
      <w:r w:rsidR="00A64140">
        <w:rPr>
          <w:b w:val="0"/>
          <w:sz w:val="28"/>
          <w:szCs w:val="28"/>
        </w:rPr>
        <w:t>фактично веде військові дії</w:t>
      </w:r>
      <w:r w:rsidRPr="001E5F24">
        <w:rPr>
          <w:b w:val="0"/>
          <w:sz w:val="28"/>
          <w:szCs w:val="28"/>
        </w:rPr>
        <w:t xml:space="preserve"> в окремих районах Донецької та Луганської областей. Вбачається, що відповідні зміни мали б бути внесені </w:t>
      </w:r>
      <w:r w:rsidR="00A64140">
        <w:rPr>
          <w:b w:val="0"/>
          <w:sz w:val="28"/>
          <w:szCs w:val="28"/>
        </w:rPr>
        <w:t xml:space="preserve">до </w:t>
      </w:r>
      <w:r w:rsidRPr="001E5F24">
        <w:rPr>
          <w:b w:val="0"/>
          <w:sz w:val="28"/>
          <w:szCs w:val="28"/>
        </w:rPr>
        <w:t>законодавч</w:t>
      </w:r>
      <w:r w:rsidR="00A64140">
        <w:rPr>
          <w:b w:val="0"/>
          <w:sz w:val="28"/>
          <w:szCs w:val="28"/>
        </w:rPr>
        <w:t>их</w:t>
      </w:r>
      <w:r w:rsidRPr="001E5F24">
        <w:rPr>
          <w:b w:val="0"/>
          <w:sz w:val="28"/>
          <w:szCs w:val="28"/>
        </w:rPr>
        <w:t xml:space="preserve"> акт</w:t>
      </w:r>
      <w:r w:rsidR="00A64140">
        <w:rPr>
          <w:b w:val="0"/>
          <w:sz w:val="28"/>
          <w:szCs w:val="28"/>
        </w:rPr>
        <w:t>ів</w:t>
      </w:r>
      <w:r w:rsidRPr="001E5F24">
        <w:rPr>
          <w:b w:val="0"/>
          <w:sz w:val="28"/>
          <w:szCs w:val="28"/>
        </w:rPr>
        <w:t xml:space="preserve"> України з питань забезпечення національної безпеки</w:t>
      </w:r>
      <w:r w:rsidR="00A64140">
        <w:rPr>
          <w:b w:val="0"/>
          <w:sz w:val="28"/>
          <w:szCs w:val="28"/>
        </w:rPr>
        <w:t xml:space="preserve"> (</w:t>
      </w:r>
      <w:r w:rsidRPr="001E5F24">
        <w:rPr>
          <w:b w:val="0"/>
          <w:sz w:val="28"/>
          <w:szCs w:val="28"/>
        </w:rPr>
        <w:t>у тому числі інфор</w:t>
      </w:r>
      <w:r w:rsidR="008D0168">
        <w:rPr>
          <w:b w:val="0"/>
          <w:sz w:val="28"/>
          <w:szCs w:val="28"/>
        </w:rPr>
        <w:t>маційної</w:t>
      </w:r>
      <w:r w:rsidR="00A64140">
        <w:rPr>
          <w:b w:val="0"/>
          <w:sz w:val="28"/>
          <w:szCs w:val="28"/>
        </w:rPr>
        <w:t>).</w:t>
      </w:r>
      <w:r w:rsidRPr="001E5F24">
        <w:rPr>
          <w:b w:val="0"/>
          <w:sz w:val="28"/>
          <w:szCs w:val="28"/>
        </w:rPr>
        <w:t xml:space="preserve"> </w:t>
      </w:r>
    </w:p>
    <w:p w:rsidR="006C2468" w:rsidRDefault="008D0168" w:rsidP="006C2468">
      <w:pPr>
        <w:ind w:firstLine="708"/>
        <w:jc w:val="both"/>
        <w:rPr>
          <w:sz w:val="28"/>
          <w:szCs w:val="28"/>
        </w:rPr>
      </w:pPr>
      <w:r w:rsidRPr="00673DED">
        <w:rPr>
          <w:b/>
          <w:sz w:val="28"/>
          <w:szCs w:val="28"/>
        </w:rPr>
        <w:t>2.</w:t>
      </w:r>
      <w:r>
        <w:rPr>
          <w:sz w:val="28"/>
          <w:szCs w:val="28"/>
        </w:rPr>
        <w:t xml:space="preserve"> Ви</w:t>
      </w:r>
      <w:r w:rsidR="006C2468">
        <w:rPr>
          <w:sz w:val="28"/>
          <w:szCs w:val="28"/>
        </w:rPr>
        <w:t xml:space="preserve">глядають зайвими і не узгоджуються з правилами законодавчої техніки </w:t>
      </w:r>
      <w:r w:rsidR="005E611E" w:rsidRPr="008D0168">
        <w:rPr>
          <w:sz w:val="28"/>
          <w:szCs w:val="28"/>
        </w:rPr>
        <w:t xml:space="preserve">пропоновані зміни до тексту преамбули Закону, відповідно до яких пропонується </w:t>
      </w:r>
      <w:r w:rsidR="001E5F24" w:rsidRPr="008D0168">
        <w:rPr>
          <w:sz w:val="28"/>
          <w:szCs w:val="28"/>
        </w:rPr>
        <w:t xml:space="preserve">в нових абзацах четвертому та п’ятому зробити посилання на закони України «Про забезпечення прав і свобод громадян та правовий режим на тимчасово окупованій території України» та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w:t>
      </w:r>
      <w:r>
        <w:rPr>
          <w:sz w:val="28"/>
          <w:szCs w:val="28"/>
        </w:rPr>
        <w:t xml:space="preserve">адже </w:t>
      </w:r>
      <w:r w:rsidR="006C2468">
        <w:rPr>
          <w:sz w:val="28"/>
          <w:szCs w:val="28"/>
        </w:rPr>
        <w:t xml:space="preserve">ці закони </w:t>
      </w:r>
      <w:r>
        <w:rPr>
          <w:sz w:val="28"/>
          <w:szCs w:val="28"/>
        </w:rPr>
        <w:t>мають тимчасовий характер</w:t>
      </w:r>
      <w:r w:rsidR="00875AD6">
        <w:rPr>
          <w:sz w:val="28"/>
          <w:szCs w:val="28"/>
        </w:rPr>
        <w:t>.</w:t>
      </w:r>
      <w:r w:rsidR="00DC7B3A">
        <w:rPr>
          <w:sz w:val="28"/>
          <w:szCs w:val="28"/>
        </w:rPr>
        <w:t xml:space="preserve"> Ще більш неприйнятним є посилання в преамбулі закону на підзаконний </w:t>
      </w:r>
      <w:r w:rsidR="00A64140">
        <w:rPr>
          <w:sz w:val="28"/>
          <w:szCs w:val="28"/>
        </w:rPr>
        <w:t xml:space="preserve">нормативно-правовий </w:t>
      </w:r>
      <w:r w:rsidR="00DC7B3A">
        <w:rPr>
          <w:sz w:val="28"/>
          <w:szCs w:val="28"/>
        </w:rPr>
        <w:t xml:space="preserve">акт. </w:t>
      </w:r>
      <w:r>
        <w:rPr>
          <w:sz w:val="28"/>
          <w:szCs w:val="28"/>
        </w:rPr>
        <w:t xml:space="preserve"> </w:t>
      </w:r>
    </w:p>
    <w:p w:rsidR="005E611E" w:rsidRPr="001E5F24" w:rsidRDefault="006C2468" w:rsidP="006C2468">
      <w:pPr>
        <w:ind w:firstLine="708"/>
        <w:jc w:val="both"/>
        <w:rPr>
          <w:bCs/>
          <w:sz w:val="28"/>
          <w:szCs w:val="28"/>
          <w:lang w:eastAsia="ru-RU"/>
        </w:rPr>
      </w:pPr>
      <w:r w:rsidRPr="00673DED">
        <w:rPr>
          <w:b/>
          <w:sz w:val="28"/>
          <w:szCs w:val="28"/>
        </w:rPr>
        <w:t>3.</w:t>
      </w:r>
      <w:r>
        <w:rPr>
          <w:sz w:val="28"/>
          <w:szCs w:val="28"/>
        </w:rPr>
        <w:t xml:space="preserve"> </w:t>
      </w:r>
      <w:r w:rsidR="005E611E" w:rsidRPr="001E5F24">
        <w:rPr>
          <w:color w:val="000000"/>
          <w:sz w:val="28"/>
          <w:szCs w:val="28"/>
          <w:lang w:eastAsia="ru-RU"/>
        </w:rPr>
        <w:t xml:space="preserve">Проект містить ряд положень, які, на наш погляд, не </w:t>
      </w:r>
      <w:r w:rsidR="00023D96">
        <w:rPr>
          <w:color w:val="000000"/>
          <w:sz w:val="28"/>
          <w:szCs w:val="28"/>
          <w:lang w:eastAsia="ru-RU"/>
        </w:rPr>
        <w:t xml:space="preserve">повною мірою </w:t>
      </w:r>
      <w:r w:rsidR="005E611E" w:rsidRPr="001E5F24">
        <w:rPr>
          <w:color w:val="000000"/>
          <w:sz w:val="28"/>
          <w:szCs w:val="28"/>
          <w:lang w:eastAsia="ru-RU"/>
        </w:rPr>
        <w:t>узгоджуються з Конституцією України</w:t>
      </w:r>
      <w:r w:rsidR="00023D96">
        <w:rPr>
          <w:color w:val="000000"/>
          <w:sz w:val="28"/>
          <w:szCs w:val="28"/>
          <w:lang w:eastAsia="ru-RU"/>
        </w:rPr>
        <w:t xml:space="preserve">. </w:t>
      </w:r>
    </w:p>
    <w:p w:rsidR="005E611E" w:rsidRPr="001E5F24" w:rsidRDefault="005E611E" w:rsidP="00EA3121">
      <w:pPr>
        <w:ind w:firstLine="708"/>
        <w:jc w:val="both"/>
        <w:rPr>
          <w:rFonts w:eastAsiaTheme="minorHAnsi"/>
          <w:bCs/>
          <w:sz w:val="28"/>
          <w:szCs w:val="28"/>
          <w:lang w:eastAsia="en-US"/>
        </w:rPr>
      </w:pPr>
      <w:r w:rsidRPr="001E5F24">
        <w:rPr>
          <w:bCs/>
          <w:sz w:val="28"/>
          <w:szCs w:val="28"/>
        </w:rPr>
        <w:t>Б</w:t>
      </w:r>
      <w:r w:rsidR="00EA3121">
        <w:rPr>
          <w:bCs/>
          <w:sz w:val="28"/>
          <w:szCs w:val="28"/>
        </w:rPr>
        <w:t>азові конституційні засади</w:t>
      </w:r>
      <w:r w:rsidRPr="001E5F24">
        <w:rPr>
          <w:bCs/>
          <w:sz w:val="28"/>
          <w:szCs w:val="28"/>
        </w:rPr>
        <w:t xml:space="preserve"> суспільного ладу в Україні ґрунтуються на принципах політичного та ідеологічного плюралізму (багатоманітності), які передбачені частинами першою та другою статті 15 Конституції України, згідно з якими «суспільне життя в Україні ґрунтується на засадах політичної, економічної та ідеологі</w:t>
      </w:r>
      <w:r w:rsidRPr="001E5F24">
        <w:rPr>
          <w:bCs/>
          <w:sz w:val="28"/>
          <w:szCs w:val="28"/>
        </w:rPr>
        <w:lastRenderedPageBreak/>
        <w:t>чної багатоманітності. Жодна ідеологія не може визнаватися державою як обов'язкова». Отже, принцип політичного плюралізму знаходить вияв у багатопартійності та свободі політичної діяльності, а принцип ідеологічного плюралізму – у розмаїтті ідеологій як систем концептуально оформлених уявлень, ідей і поглядів на життя, які відбивають інтереси, світогляд, ідеали, настрої людей. При цьому конституційними приписами не передбачається заборона якої-небудь ідеології, так само і об’єднання громадян не можуть бути заборонені шляхом прийняття відповідних законів лише на підставі того, що вони сповідують певну ідеологію.</w:t>
      </w:r>
    </w:p>
    <w:p w:rsidR="005E611E" w:rsidRPr="001E5F24" w:rsidRDefault="005E611E" w:rsidP="005E611E">
      <w:pPr>
        <w:ind w:firstLine="540"/>
        <w:jc w:val="both"/>
        <w:rPr>
          <w:color w:val="000000"/>
          <w:sz w:val="28"/>
          <w:szCs w:val="28"/>
          <w:lang w:eastAsia="ru-RU"/>
        </w:rPr>
      </w:pPr>
      <w:r w:rsidRPr="001E5F24">
        <w:rPr>
          <w:bCs/>
          <w:sz w:val="28"/>
          <w:szCs w:val="28"/>
        </w:rPr>
        <w:t xml:space="preserve">У Конституції України містяться приписи, які певною мірою обмежують принцип політичного та ідеологічного плюралізму (багатоманітності). Зокрема, у частині четвертій статті 15 Конституції України передбачено, що «держава гарантує свободу політичної діяльності, не забороненої Конституцією і законами України». Відповідно до частини першої статті 37 Конституції України «утворення і діяльність політичних партій та громадських організацій, програмні цілі або дії яких спрямовані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на розпалювання міжетнічної, расової, релігійної ворожнечі, посягання на права і свободи людини, здоров'я населення, забороняються». Таким чином, мова йде про конституційно закріплену заборону утворення та діяльності політичних партій та громадських організацій, а не про заборону певної ідеології як такої. А оскільки відповідні обмеження передбачені в Конституції України, то є підстави вважати, що питання заборони </w:t>
      </w:r>
      <w:r w:rsidR="00A64140">
        <w:rPr>
          <w:bCs/>
          <w:sz w:val="28"/>
          <w:szCs w:val="28"/>
        </w:rPr>
        <w:t>певної</w:t>
      </w:r>
      <w:r w:rsidRPr="001E5F24">
        <w:rPr>
          <w:bCs/>
          <w:sz w:val="28"/>
          <w:szCs w:val="28"/>
        </w:rPr>
        <w:t xml:space="preserve"> ідеології </w:t>
      </w:r>
      <w:r w:rsidR="00A64140">
        <w:rPr>
          <w:bCs/>
          <w:sz w:val="28"/>
          <w:szCs w:val="28"/>
        </w:rPr>
        <w:t>має</w:t>
      </w:r>
      <w:r w:rsidRPr="001E5F24">
        <w:rPr>
          <w:bCs/>
          <w:sz w:val="28"/>
          <w:szCs w:val="28"/>
        </w:rPr>
        <w:t xml:space="preserve"> </w:t>
      </w:r>
      <w:r w:rsidRPr="001E5F24">
        <w:rPr>
          <w:bCs/>
          <w:sz w:val="28"/>
          <w:szCs w:val="28"/>
        </w:rPr>
        <w:lastRenderedPageBreak/>
        <w:t xml:space="preserve">бути, передусім, предметом конституційного регулювання, а не предметом звичайного закону, як це пропонується </w:t>
      </w:r>
      <w:r w:rsidR="00EA3121">
        <w:rPr>
          <w:bCs/>
          <w:sz w:val="28"/>
          <w:szCs w:val="28"/>
        </w:rPr>
        <w:t>у проекті</w:t>
      </w:r>
      <w:r w:rsidRPr="001E5F24">
        <w:rPr>
          <w:bCs/>
          <w:sz w:val="28"/>
          <w:szCs w:val="28"/>
        </w:rPr>
        <w:t>.</w:t>
      </w:r>
    </w:p>
    <w:p w:rsidR="005E611E" w:rsidRPr="00023D96" w:rsidRDefault="00023D96" w:rsidP="00A21B77">
      <w:pPr>
        <w:pStyle w:val="3"/>
        <w:spacing w:before="0" w:beforeAutospacing="0" w:after="0" w:afterAutospacing="0"/>
        <w:ind w:firstLine="540"/>
        <w:jc w:val="both"/>
        <w:rPr>
          <w:b w:val="0"/>
          <w:sz w:val="28"/>
          <w:szCs w:val="28"/>
        </w:rPr>
      </w:pPr>
      <w:r w:rsidRPr="00673DED">
        <w:rPr>
          <w:sz w:val="28"/>
          <w:szCs w:val="28"/>
        </w:rPr>
        <w:t>4.</w:t>
      </w:r>
      <w:r w:rsidRPr="00023D96">
        <w:rPr>
          <w:b w:val="0"/>
          <w:sz w:val="28"/>
          <w:szCs w:val="28"/>
        </w:rPr>
        <w:t xml:space="preserve"> </w:t>
      </w:r>
      <w:r w:rsidR="005E611E" w:rsidRPr="00023D96">
        <w:rPr>
          <w:b w:val="0"/>
          <w:sz w:val="28"/>
          <w:szCs w:val="28"/>
        </w:rPr>
        <w:t xml:space="preserve">У запропонованих у законопроекті доповненнях </w:t>
      </w:r>
      <w:r w:rsidR="00FB3FB9">
        <w:rPr>
          <w:b w:val="0"/>
          <w:sz w:val="28"/>
          <w:szCs w:val="28"/>
        </w:rPr>
        <w:t xml:space="preserve">до </w:t>
      </w:r>
      <w:r w:rsidR="005E611E" w:rsidRPr="00023D96">
        <w:rPr>
          <w:b w:val="0"/>
          <w:sz w:val="28"/>
          <w:szCs w:val="28"/>
        </w:rPr>
        <w:t>статті 1 Закону містяться незрозумілі формулювання</w:t>
      </w:r>
      <w:r w:rsidR="005E611E" w:rsidRPr="00023D96">
        <w:rPr>
          <w:sz w:val="28"/>
          <w:szCs w:val="28"/>
        </w:rPr>
        <w:t xml:space="preserve"> </w:t>
      </w:r>
      <w:r w:rsidR="005E611E" w:rsidRPr="00023D96">
        <w:rPr>
          <w:b w:val="0"/>
          <w:sz w:val="28"/>
          <w:szCs w:val="28"/>
        </w:rPr>
        <w:t xml:space="preserve">та оціночні судження, які відповідно до вимог законодавчої техніки не повинні міститися у нормативно-правових актах, не несуть змістовного правового навантаження і потребують певного роз’яснення. </w:t>
      </w:r>
      <w:r w:rsidR="00FB3FB9">
        <w:rPr>
          <w:b w:val="0"/>
          <w:sz w:val="28"/>
          <w:szCs w:val="28"/>
        </w:rPr>
        <w:t>Такими є, з</w:t>
      </w:r>
      <w:r w:rsidR="005E611E" w:rsidRPr="00023D96">
        <w:rPr>
          <w:b w:val="0"/>
          <w:sz w:val="28"/>
          <w:szCs w:val="28"/>
        </w:rPr>
        <w:t>окрема, «</w:t>
      </w:r>
      <w:r w:rsidRPr="00023D96">
        <w:rPr>
          <w:b w:val="0"/>
          <w:sz w:val="28"/>
          <w:szCs w:val="28"/>
        </w:rPr>
        <w:t>форма націонал-соціалізму (нацизму)», «російська неоімперська геополітична, культурно-історична ідея міжнародного та міждержавного співтовариства», «захист російського і російськомовного населення», «загальноросійська ідея»</w:t>
      </w:r>
      <w:r w:rsidR="005E611E" w:rsidRPr="00023D96">
        <w:rPr>
          <w:b w:val="0"/>
          <w:sz w:val="28"/>
          <w:szCs w:val="28"/>
        </w:rPr>
        <w:t>...»</w:t>
      </w:r>
      <w:r w:rsidRPr="00023D96">
        <w:rPr>
          <w:b w:val="0"/>
          <w:sz w:val="28"/>
          <w:szCs w:val="28"/>
        </w:rPr>
        <w:t xml:space="preserve"> </w:t>
      </w:r>
      <w:r w:rsidR="005E611E" w:rsidRPr="00023D96">
        <w:rPr>
          <w:b w:val="0"/>
          <w:sz w:val="28"/>
          <w:szCs w:val="28"/>
        </w:rPr>
        <w:t xml:space="preserve">(п. </w:t>
      </w:r>
      <w:r w:rsidRPr="00023D96">
        <w:rPr>
          <w:b w:val="0"/>
          <w:sz w:val="28"/>
          <w:szCs w:val="28"/>
        </w:rPr>
        <w:t>3 Розділу І в редакції проекту)</w:t>
      </w:r>
      <w:r w:rsidR="005E611E" w:rsidRPr="00023D96">
        <w:rPr>
          <w:b w:val="0"/>
          <w:sz w:val="28"/>
          <w:szCs w:val="28"/>
        </w:rPr>
        <w:t>, «</w:t>
      </w:r>
      <w:r w:rsidRPr="00023D96">
        <w:rPr>
          <w:b w:val="0"/>
          <w:sz w:val="28"/>
          <w:szCs w:val="28"/>
        </w:rPr>
        <w:t>прихильники «російського світу» («руского міра»</w:t>
      </w:r>
      <w:r>
        <w:rPr>
          <w:b w:val="0"/>
          <w:sz w:val="28"/>
          <w:szCs w:val="28"/>
        </w:rPr>
        <w:t>)</w:t>
      </w:r>
      <w:r w:rsidR="005E611E" w:rsidRPr="00023D96">
        <w:rPr>
          <w:b w:val="0"/>
          <w:sz w:val="28"/>
          <w:szCs w:val="28"/>
        </w:rPr>
        <w:t xml:space="preserve"> (п</w:t>
      </w:r>
      <w:r w:rsidR="00E33BB8">
        <w:rPr>
          <w:b w:val="0"/>
          <w:sz w:val="28"/>
          <w:szCs w:val="28"/>
        </w:rPr>
        <w:t>.</w:t>
      </w:r>
      <w:r w:rsidRPr="00023D96">
        <w:rPr>
          <w:b w:val="0"/>
          <w:sz w:val="28"/>
          <w:szCs w:val="28"/>
        </w:rPr>
        <w:t xml:space="preserve"> 6</w:t>
      </w:r>
      <w:r w:rsidR="005E611E" w:rsidRPr="00023D96">
        <w:rPr>
          <w:b w:val="0"/>
          <w:sz w:val="28"/>
          <w:szCs w:val="28"/>
        </w:rPr>
        <w:t xml:space="preserve"> </w:t>
      </w:r>
      <w:r w:rsidRPr="00023D96">
        <w:rPr>
          <w:b w:val="0"/>
          <w:sz w:val="28"/>
          <w:szCs w:val="28"/>
        </w:rPr>
        <w:t>Розділу І в редакції проекту</w:t>
      </w:r>
      <w:r w:rsidR="005E611E" w:rsidRPr="00023D96">
        <w:rPr>
          <w:b w:val="0"/>
          <w:sz w:val="28"/>
          <w:szCs w:val="28"/>
        </w:rPr>
        <w:t>).</w:t>
      </w:r>
    </w:p>
    <w:p w:rsidR="00DC177B" w:rsidRPr="00DC177B" w:rsidRDefault="00023D96" w:rsidP="00BF7F4F">
      <w:pPr>
        <w:ind w:firstLine="540"/>
        <w:jc w:val="both"/>
        <w:rPr>
          <w:sz w:val="28"/>
          <w:szCs w:val="28"/>
          <w:lang w:eastAsia="en-US"/>
        </w:rPr>
      </w:pPr>
      <w:r w:rsidRPr="00976CD0">
        <w:rPr>
          <w:b/>
          <w:sz w:val="28"/>
          <w:szCs w:val="28"/>
        </w:rPr>
        <w:t>5</w:t>
      </w:r>
      <w:r w:rsidRPr="00023D96">
        <w:rPr>
          <w:sz w:val="28"/>
          <w:szCs w:val="28"/>
        </w:rPr>
        <w:t xml:space="preserve">. </w:t>
      </w:r>
      <w:r w:rsidRPr="001E5F24">
        <w:rPr>
          <w:sz w:val="28"/>
          <w:szCs w:val="28"/>
        </w:rPr>
        <w:t xml:space="preserve">Видається також сумнівним з </w:t>
      </w:r>
      <w:r w:rsidR="00FB3FB9">
        <w:rPr>
          <w:sz w:val="28"/>
          <w:szCs w:val="28"/>
        </w:rPr>
        <w:t xml:space="preserve">юридичної </w:t>
      </w:r>
      <w:r w:rsidRPr="001E5F24">
        <w:rPr>
          <w:sz w:val="28"/>
          <w:szCs w:val="28"/>
        </w:rPr>
        <w:t xml:space="preserve">точки зору пропоноване </w:t>
      </w:r>
      <w:r w:rsidR="00FB3FB9">
        <w:rPr>
          <w:sz w:val="28"/>
          <w:szCs w:val="28"/>
        </w:rPr>
        <w:t xml:space="preserve">у </w:t>
      </w:r>
      <w:r w:rsidRPr="001E5F24">
        <w:rPr>
          <w:sz w:val="28"/>
          <w:szCs w:val="28"/>
        </w:rPr>
        <w:t>законопроект</w:t>
      </w:r>
      <w:r w:rsidR="00FB3FB9">
        <w:rPr>
          <w:sz w:val="28"/>
          <w:szCs w:val="28"/>
        </w:rPr>
        <w:t>і</w:t>
      </w:r>
      <w:r w:rsidRPr="001E5F24">
        <w:rPr>
          <w:sz w:val="28"/>
          <w:szCs w:val="28"/>
        </w:rPr>
        <w:t xml:space="preserve"> визначення «пропаганди</w:t>
      </w:r>
      <w:r>
        <w:rPr>
          <w:sz w:val="28"/>
          <w:szCs w:val="28"/>
        </w:rPr>
        <w:t xml:space="preserve"> </w:t>
      </w:r>
      <w:r w:rsidRPr="00023D96">
        <w:rPr>
          <w:sz w:val="28"/>
          <w:szCs w:val="28"/>
        </w:rPr>
        <w:t>«російського світу» («руского міра»)», під якою пропонується розуміти «</w:t>
      </w:r>
      <w:r w:rsidR="00DC177B" w:rsidRPr="00DC177B">
        <w:rPr>
          <w:sz w:val="28"/>
          <w:szCs w:val="28"/>
          <w:u w:val="single"/>
        </w:rPr>
        <w:t xml:space="preserve">поширення </w:t>
      </w:r>
      <w:r w:rsidR="00DC177B" w:rsidRPr="00DC177B">
        <w:rPr>
          <w:sz w:val="28"/>
          <w:szCs w:val="28"/>
          <w:u w:val="single"/>
          <w:lang w:eastAsia="en-US"/>
        </w:rPr>
        <w:t>інформації</w:t>
      </w:r>
      <w:r w:rsidR="00DC177B" w:rsidRPr="00DC177B">
        <w:rPr>
          <w:sz w:val="28"/>
          <w:szCs w:val="28"/>
          <w:lang w:eastAsia="en-US"/>
        </w:rPr>
        <w:t>, спрямованої на виправдання злочинного характеру ідей російського світу («руского міра»), яке в тому числі може проявлятись в наступних формах:</w:t>
      </w:r>
    </w:p>
    <w:p w:rsidR="00DC177B" w:rsidRPr="00DC177B" w:rsidRDefault="00DC177B" w:rsidP="00DC177B">
      <w:pPr>
        <w:ind w:firstLine="709"/>
        <w:jc w:val="both"/>
        <w:rPr>
          <w:sz w:val="28"/>
          <w:szCs w:val="28"/>
          <w:lang w:eastAsia="en-US"/>
        </w:rPr>
      </w:pPr>
      <w:r w:rsidRPr="00DC177B">
        <w:rPr>
          <w:sz w:val="28"/>
          <w:szCs w:val="28"/>
          <w:lang w:eastAsia="en-US"/>
        </w:rPr>
        <w:t>а) діях осіб, що містять ознаки сепаратизму, а саме: заклики до проведення зборів, мітингів, демонстрацій, протестів під гаслами приєднання окремих регіонів України до Російської Федерації (або виділення їх в окремі території з метою створення суверенної держави) чи набуття статусу дуже широкої автономії;</w:t>
      </w:r>
    </w:p>
    <w:p w:rsidR="00DC177B" w:rsidRPr="00DC177B" w:rsidRDefault="00DC177B" w:rsidP="00DC177B">
      <w:pPr>
        <w:ind w:firstLine="709"/>
        <w:jc w:val="both"/>
        <w:rPr>
          <w:sz w:val="28"/>
          <w:szCs w:val="28"/>
          <w:lang w:eastAsia="en-US"/>
        </w:rPr>
      </w:pPr>
      <w:r w:rsidRPr="00DC177B">
        <w:rPr>
          <w:sz w:val="28"/>
          <w:szCs w:val="28"/>
          <w:lang w:eastAsia="en-US"/>
        </w:rPr>
        <w:t>б) публічних висловлюваннях осіб, які виправдовують військову агресію проти України «для захисту російського і російськомовного населення»;</w:t>
      </w:r>
    </w:p>
    <w:p w:rsidR="00DC177B" w:rsidRPr="00DC177B" w:rsidRDefault="00DC177B" w:rsidP="00DC177B">
      <w:pPr>
        <w:ind w:firstLine="709"/>
        <w:jc w:val="both"/>
        <w:rPr>
          <w:sz w:val="28"/>
          <w:szCs w:val="28"/>
          <w:lang w:eastAsia="en-US"/>
        </w:rPr>
      </w:pPr>
      <w:r w:rsidRPr="00DC177B">
        <w:rPr>
          <w:sz w:val="28"/>
          <w:szCs w:val="28"/>
          <w:lang w:eastAsia="en-US"/>
        </w:rPr>
        <w:lastRenderedPageBreak/>
        <w:t>в) поширення «загальноросійської ідеї» об’єднання українського, білоруського та російського народів в єдиний «триєдиний» російський народ»;</w:t>
      </w:r>
    </w:p>
    <w:p w:rsidR="00DC177B" w:rsidRPr="00DC177B" w:rsidRDefault="00DC177B" w:rsidP="00DC177B">
      <w:pPr>
        <w:ind w:firstLine="709"/>
        <w:jc w:val="both"/>
        <w:rPr>
          <w:sz w:val="28"/>
          <w:szCs w:val="28"/>
          <w:lang w:eastAsia="en-US"/>
        </w:rPr>
      </w:pPr>
      <w:r w:rsidRPr="00DC177B">
        <w:rPr>
          <w:sz w:val="28"/>
          <w:szCs w:val="28"/>
          <w:lang w:eastAsia="en-US"/>
        </w:rPr>
        <w:t>г) нав’язування суспільству ідеї про самодостатність, унікальність російської та/або слов’янської цивілізації на противагу «західним країнам»; звеличення, аж до формування культу осіб – перших керівників Російської Федерації;</w:t>
      </w:r>
    </w:p>
    <w:p w:rsidR="00DC177B" w:rsidRDefault="00DC177B" w:rsidP="00DC177B">
      <w:pPr>
        <w:ind w:firstLine="709"/>
        <w:jc w:val="both"/>
        <w:rPr>
          <w:sz w:val="28"/>
          <w:szCs w:val="28"/>
          <w:lang w:eastAsia="en-US"/>
        </w:rPr>
      </w:pPr>
      <w:r w:rsidRPr="00DC177B">
        <w:rPr>
          <w:sz w:val="28"/>
          <w:szCs w:val="28"/>
          <w:lang w:eastAsia="en-US"/>
        </w:rPr>
        <w:t>д) поширення ідеології про виключний статус московського православ’я, начебто, про те, що Російська православна церква – основа Вселенського православ’я і єдина церква, яка зберегла автентичну віру, а також використання такої ідеології як підставу для об’єднання українського та російського народів»</w:t>
      </w:r>
      <w:r w:rsidR="00CF53FB">
        <w:rPr>
          <w:sz w:val="28"/>
          <w:szCs w:val="28"/>
          <w:lang w:eastAsia="en-US"/>
        </w:rPr>
        <w:t xml:space="preserve"> (</w:t>
      </w:r>
      <w:r>
        <w:rPr>
          <w:sz w:val="28"/>
          <w:szCs w:val="28"/>
          <w:lang w:eastAsia="en-US"/>
        </w:rPr>
        <w:t>п. 3 Розділу І в редакції проекту)</w:t>
      </w:r>
      <w:r w:rsidRPr="00DC177B">
        <w:rPr>
          <w:sz w:val="28"/>
          <w:szCs w:val="28"/>
          <w:lang w:eastAsia="en-US"/>
        </w:rPr>
        <w:t>.</w:t>
      </w:r>
    </w:p>
    <w:p w:rsidR="00C362FA" w:rsidRPr="00C362FA" w:rsidRDefault="00DC177B" w:rsidP="00C362FA">
      <w:pPr>
        <w:ind w:firstLine="709"/>
        <w:jc w:val="both"/>
        <w:rPr>
          <w:sz w:val="28"/>
          <w:szCs w:val="28"/>
        </w:rPr>
      </w:pPr>
      <w:r w:rsidRPr="001E5F24">
        <w:rPr>
          <w:sz w:val="28"/>
          <w:szCs w:val="28"/>
        </w:rPr>
        <w:t xml:space="preserve">На думку </w:t>
      </w:r>
      <w:r w:rsidR="00FB3FB9">
        <w:rPr>
          <w:sz w:val="28"/>
          <w:szCs w:val="28"/>
        </w:rPr>
        <w:t>Головного у</w:t>
      </w:r>
      <w:r w:rsidRPr="001E5F24">
        <w:rPr>
          <w:sz w:val="28"/>
          <w:szCs w:val="28"/>
        </w:rPr>
        <w:t xml:space="preserve">правління, запропоноване визначення пропаганди </w:t>
      </w:r>
      <w:r w:rsidRPr="00023D96">
        <w:rPr>
          <w:sz w:val="28"/>
          <w:szCs w:val="28"/>
        </w:rPr>
        <w:t>«російського світу» («руского міра»)»</w:t>
      </w:r>
      <w:r w:rsidR="00FB3FB9">
        <w:rPr>
          <w:sz w:val="28"/>
          <w:szCs w:val="28"/>
        </w:rPr>
        <w:t>, а також її форм</w:t>
      </w:r>
      <w:r w:rsidRPr="001E5F24">
        <w:rPr>
          <w:sz w:val="28"/>
          <w:szCs w:val="28"/>
        </w:rPr>
        <w:t xml:space="preserve"> не задовольняє вимогам щодо зрозумілості/чіткості та пе</w:t>
      </w:r>
      <w:r w:rsidR="00FB3FB9">
        <w:rPr>
          <w:sz w:val="28"/>
          <w:szCs w:val="28"/>
        </w:rPr>
        <w:t>редбачуваності, що своєю чергою</w:t>
      </w:r>
      <w:r w:rsidRPr="001E5F24">
        <w:rPr>
          <w:sz w:val="28"/>
          <w:szCs w:val="28"/>
        </w:rPr>
        <w:t xml:space="preserve"> потенційно </w:t>
      </w:r>
      <w:r w:rsidRPr="00DC177B">
        <w:rPr>
          <w:sz w:val="28"/>
          <w:szCs w:val="28"/>
        </w:rPr>
        <w:t>може призвести до слідчих та судових помилок. Як випливає з пп. 84-85 Спільного проміжного висновку щодо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w:t>
      </w:r>
      <w:r w:rsidR="00881806">
        <w:rPr>
          <w:sz w:val="28"/>
          <w:szCs w:val="28"/>
        </w:rPr>
        <w:t>,</w:t>
      </w:r>
      <w:r w:rsidRPr="00DC177B">
        <w:rPr>
          <w:sz w:val="28"/>
          <w:szCs w:val="28"/>
        </w:rPr>
        <w:t xml:space="preserve"> ухвален</w:t>
      </w:r>
      <w:r w:rsidR="00FB3FB9">
        <w:rPr>
          <w:sz w:val="28"/>
          <w:szCs w:val="28"/>
        </w:rPr>
        <w:t>ого</w:t>
      </w:r>
      <w:r w:rsidRPr="00DC177B">
        <w:rPr>
          <w:sz w:val="28"/>
          <w:szCs w:val="28"/>
        </w:rPr>
        <w:t xml:space="preserve"> Венеціанською комісією</w:t>
      </w:r>
      <w:r w:rsidR="00BF7F4F">
        <w:rPr>
          <w:sz w:val="28"/>
          <w:szCs w:val="28"/>
        </w:rPr>
        <w:t xml:space="preserve"> на 105-му пленарному засіданні</w:t>
      </w:r>
      <w:r w:rsidRPr="00DC177B">
        <w:rPr>
          <w:sz w:val="28"/>
          <w:szCs w:val="28"/>
        </w:rPr>
        <w:t xml:space="preserve"> </w:t>
      </w:r>
      <w:r w:rsidR="00BF7F4F">
        <w:rPr>
          <w:sz w:val="28"/>
          <w:szCs w:val="28"/>
        </w:rPr>
        <w:t>(Венеція</w:t>
      </w:r>
      <w:r w:rsidR="00E33BB8">
        <w:rPr>
          <w:sz w:val="28"/>
          <w:szCs w:val="28"/>
        </w:rPr>
        <w:t xml:space="preserve">, </w:t>
      </w:r>
      <w:r w:rsidRPr="00DC177B">
        <w:rPr>
          <w:sz w:val="28"/>
          <w:szCs w:val="28"/>
        </w:rPr>
        <w:t>18-19 грудня 2015 року)</w:t>
      </w:r>
      <w:r w:rsidRPr="00DC177B">
        <w:rPr>
          <w:rStyle w:val="ab"/>
          <w:sz w:val="28"/>
          <w:szCs w:val="28"/>
        </w:rPr>
        <w:t xml:space="preserve"> </w:t>
      </w:r>
      <w:r w:rsidRPr="00DC177B">
        <w:rPr>
          <w:rStyle w:val="ab"/>
          <w:sz w:val="28"/>
          <w:szCs w:val="28"/>
        </w:rPr>
        <w:footnoteReference w:id="1"/>
      </w:r>
      <w:r>
        <w:rPr>
          <w:sz w:val="28"/>
          <w:szCs w:val="28"/>
        </w:rPr>
        <w:t>, т</w:t>
      </w:r>
      <w:r w:rsidRPr="00DC177B">
        <w:rPr>
          <w:sz w:val="28"/>
          <w:szCs w:val="28"/>
        </w:rPr>
        <w:t xml:space="preserve">ермін </w:t>
      </w:r>
      <w:r w:rsidRPr="00DC177B">
        <w:rPr>
          <w:i/>
          <w:iCs/>
          <w:sz w:val="28"/>
          <w:szCs w:val="28"/>
        </w:rPr>
        <w:t>«</w:t>
      </w:r>
      <w:r w:rsidRPr="00DC177B">
        <w:rPr>
          <w:sz w:val="28"/>
          <w:szCs w:val="28"/>
        </w:rPr>
        <w:t>пропаганда</w:t>
      </w:r>
      <w:r w:rsidRPr="00DC177B">
        <w:rPr>
          <w:i/>
          <w:iCs/>
          <w:sz w:val="28"/>
          <w:szCs w:val="28"/>
        </w:rPr>
        <w:t xml:space="preserve">» </w:t>
      </w:r>
      <w:r w:rsidRPr="00DC177B">
        <w:rPr>
          <w:sz w:val="28"/>
          <w:szCs w:val="28"/>
        </w:rPr>
        <w:t xml:space="preserve">повинен означати </w:t>
      </w:r>
      <w:r w:rsidRPr="00DC177B">
        <w:rPr>
          <w:sz w:val="28"/>
          <w:szCs w:val="28"/>
        </w:rPr>
        <w:lastRenderedPageBreak/>
        <w:t>щось більше, ніж просто вираження поглядів і думок.</w:t>
      </w:r>
      <w:r>
        <w:rPr>
          <w:sz w:val="28"/>
          <w:szCs w:val="28"/>
        </w:rPr>
        <w:t xml:space="preserve"> П</w:t>
      </w:r>
      <w:r w:rsidRPr="00DC177B">
        <w:rPr>
          <w:sz w:val="28"/>
          <w:szCs w:val="28"/>
        </w:rPr>
        <w:t xml:space="preserve">ід </w:t>
      </w:r>
      <w:r w:rsidRPr="00DC177B">
        <w:rPr>
          <w:i/>
          <w:iCs/>
          <w:sz w:val="28"/>
          <w:szCs w:val="28"/>
        </w:rPr>
        <w:t>«</w:t>
      </w:r>
      <w:r w:rsidRPr="00DC177B">
        <w:rPr>
          <w:sz w:val="28"/>
          <w:szCs w:val="28"/>
        </w:rPr>
        <w:t>пропагандою</w:t>
      </w:r>
      <w:r w:rsidRPr="00DC177B">
        <w:rPr>
          <w:i/>
          <w:iCs/>
          <w:sz w:val="28"/>
          <w:szCs w:val="28"/>
        </w:rPr>
        <w:t xml:space="preserve">» </w:t>
      </w:r>
      <w:r w:rsidRPr="00DC177B">
        <w:rPr>
          <w:sz w:val="28"/>
          <w:szCs w:val="28"/>
        </w:rPr>
        <w:t>мають на увазі діяльність, спрямовану на навернення людей, навіювання їм певних поглядів чи ідей.</w:t>
      </w:r>
      <w:r w:rsidR="007E7776">
        <w:rPr>
          <w:sz w:val="28"/>
          <w:szCs w:val="28"/>
        </w:rPr>
        <w:t xml:space="preserve"> </w:t>
      </w:r>
      <w:r w:rsidRPr="00DC177B">
        <w:rPr>
          <w:sz w:val="28"/>
          <w:szCs w:val="28"/>
        </w:rPr>
        <w:t xml:space="preserve">Більше того, у </w:t>
      </w:r>
      <w:r w:rsidR="00881806">
        <w:rPr>
          <w:sz w:val="28"/>
          <w:szCs w:val="28"/>
        </w:rPr>
        <w:t xml:space="preserve">запропонованому проектом </w:t>
      </w:r>
      <w:r w:rsidRPr="00DC177B">
        <w:rPr>
          <w:sz w:val="28"/>
          <w:szCs w:val="28"/>
        </w:rPr>
        <w:t xml:space="preserve">визначенні </w:t>
      </w:r>
      <w:r w:rsidR="00881806">
        <w:rPr>
          <w:sz w:val="28"/>
          <w:szCs w:val="28"/>
        </w:rPr>
        <w:t>«</w:t>
      </w:r>
      <w:r w:rsidRPr="00DC177B">
        <w:rPr>
          <w:sz w:val="28"/>
          <w:szCs w:val="28"/>
        </w:rPr>
        <w:t>пропаганди</w:t>
      </w:r>
      <w:r w:rsidR="00881806">
        <w:rPr>
          <w:sz w:val="28"/>
          <w:szCs w:val="28"/>
        </w:rPr>
        <w:t>»</w:t>
      </w:r>
      <w:r w:rsidRPr="00DC177B">
        <w:rPr>
          <w:sz w:val="28"/>
          <w:szCs w:val="28"/>
        </w:rPr>
        <w:t xml:space="preserve"> немає характерних ознак, які чітко вирізняли б її з-поміж інших форм вираження поглядів, захищених </w:t>
      </w:r>
      <w:r>
        <w:rPr>
          <w:sz w:val="28"/>
          <w:szCs w:val="28"/>
        </w:rPr>
        <w:t>с</w:t>
      </w:r>
      <w:r w:rsidRPr="00DC177B">
        <w:rPr>
          <w:sz w:val="28"/>
          <w:szCs w:val="28"/>
        </w:rPr>
        <w:t>таттею 10 Європейської конвенції</w:t>
      </w:r>
      <w:r>
        <w:rPr>
          <w:sz w:val="28"/>
          <w:szCs w:val="28"/>
        </w:rPr>
        <w:t xml:space="preserve"> про захист прав людини і </w:t>
      </w:r>
      <w:r w:rsidR="007E7776">
        <w:rPr>
          <w:sz w:val="28"/>
          <w:szCs w:val="28"/>
        </w:rPr>
        <w:t>основоположних</w:t>
      </w:r>
      <w:r>
        <w:rPr>
          <w:sz w:val="28"/>
          <w:szCs w:val="28"/>
        </w:rPr>
        <w:t xml:space="preserve"> свобод</w:t>
      </w:r>
      <w:r w:rsidR="007E7776">
        <w:rPr>
          <w:sz w:val="28"/>
          <w:szCs w:val="28"/>
        </w:rPr>
        <w:t xml:space="preserve"> 1950 року (далі – Конвенція). Наприклад, не є зрозумілим, що саме розуміється під висловом «публічні висловлювання осіб, які виправдовують військову агресію проти України». Постає питання: про яких осіб йдеться – фізичних чи/та юридичних осіб, громадян України, іноземців, осіб </w:t>
      </w:r>
      <w:r w:rsidR="007E7776" w:rsidRPr="00C362FA">
        <w:rPr>
          <w:sz w:val="28"/>
          <w:szCs w:val="28"/>
        </w:rPr>
        <w:t xml:space="preserve">без громадянства, публічних, громадських діячів, діячів культури і мистецтва тощо. </w:t>
      </w:r>
      <w:r w:rsidR="00BF7F4F">
        <w:rPr>
          <w:sz w:val="28"/>
          <w:szCs w:val="28"/>
        </w:rPr>
        <w:t>Незрозуміло також в</w:t>
      </w:r>
      <w:r w:rsidR="00C362FA" w:rsidRPr="00C362FA">
        <w:rPr>
          <w:sz w:val="28"/>
          <w:szCs w:val="28"/>
        </w:rPr>
        <w:t xml:space="preserve"> чому полягають </w:t>
      </w:r>
      <w:r w:rsidR="00C362FA" w:rsidRPr="00C362FA">
        <w:rPr>
          <w:sz w:val="28"/>
          <w:szCs w:val="28"/>
          <w:lang w:eastAsia="uk-UA"/>
        </w:rPr>
        <w:t>реальні механізми боротьби з пропагандою чи символікою РФ та ОРДЛО; який орган виконавчої влади безпосередньо здійснюватиме нагляд за дотриманням норм цього закону (у разі його ухвалення)</w:t>
      </w:r>
      <w:r w:rsidR="00C362FA">
        <w:rPr>
          <w:sz w:val="28"/>
          <w:szCs w:val="28"/>
          <w:lang w:eastAsia="uk-UA"/>
        </w:rPr>
        <w:t xml:space="preserve"> і в чому полягатимуть його функції</w:t>
      </w:r>
      <w:r w:rsidR="00C362FA" w:rsidRPr="00C362FA">
        <w:rPr>
          <w:sz w:val="28"/>
          <w:szCs w:val="28"/>
          <w:lang w:eastAsia="uk-UA"/>
        </w:rPr>
        <w:t xml:space="preserve"> тощо. </w:t>
      </w:r>
    </w:p>
    <w:p w:rsidR="00976CD0" w:rsidRPr="004367AF" w:rsidRDefault="00976CD0" w:rsidP="004367AF">
      <w:pPr>
        <w:ind w:firstLine="709"/>
        <w:jc w:val="both"/>
        <w:rPr>
          <w:sz w:val="28"/>
          <w:szCs w:val="28"/>
        </w:rPr>
      </w:pPr>
      <w:r w:rsidRPr="004367AF">
        <w:rPr>
          <w:rFonts w:eastAsia="Calibri"/>
          <w:iCs/>
          <w:sz w:val="28"/>
          <w:szCs w:val="28"/>
          <w:lang w:eastAsia="ru-RU"/>
        </w:rPr>
        <w:t>Звертаємо увагу, що відповідно до підпункту «</w:t>
      </w:r>
      <w:r w:rsidRPr="004367AF">
        <w:rPr>
          <w:rFonts w:eastAsia="Calibri"/>
          <w:iCs/>
          <w:sz w:val="28"/>
          <w:szCs w:val="28"/>
          <w:lang w:val="en-US" w:eastAsia="ru-RU"/>
        </w:rPr>
        <w:t>b</w:t>
      </w:r>
      <w:r w:rsidRPr="004367AF">
        <w:rPr>
          <w:rFonts w:eastAsia="Calibri"/>
          <w:iCs/>
          <w:sz w:val="28"/>
          <w:szCs w:val="28"/>
          <w:lang w:eastAsia="ru-RU"/>
        </w:rPr>
        <w:t>» пункту 10 Спільного проміжного висновку</w:t>
      </w:r>
      <w:r w:rsidRPr="004367AF">
        <w:rPr>
          <w:rFonts w:eastAsia="Calibri"/>
          <w:iCs/>
          <w:sz w:val="28"/>
          <w:szCs w:val="28"/>
          <w:vertAlign w:val="superscript"/>
          <w:lang w:eastAsia="ru-RU"/>
        </w:rPr>
        <w:footnoteReference w:id="2"/>
      </w:r>
      <w:r w:rsidRPr="004367AF">
        <w:rPr>
          <w:rFonts w:eastAsia="Calibri"/>
          <w:iCs/>
          <w:sz w:val="28"/>
          <w:szCs w:val="28"/>
          <w:lang w:eastAsia="ru-RU"/>
        </w:rPr>
        <w:t xml:space="preserve"> Венеціанськ</w:t>
      </w:r>
      <w:r w:rsidR="00FB3FB9">
        <w:rPr>
          <w:rFonts w:eastAsia="Calibri"/>
          <w:iCs/>
          <w:sz w:val="28"/>
          <w:szCs w:val="28"/>
          <w:lang w:eastAsia="ru-RU"/>
        </w:rPr>
        <w:t>ої</w:t>
      </w:r>
      <w:r w:rsidRPr="004367AF">
        <w:rPr>
          <w:rFonts w:eastAsia="Calibri"/>
          <w:iCs/>
          <w:sz w:val="28"/>
          <w:szCs w:val="28"/>
          <w:lang w:eastAsia="ru-RU"/>
        </w:rPr>
        <w:t xml:space="preserve"> комісі</w:t>
      </w:r>
      <w:r w:rsidR="00FB3FB9">
        <w:rPr>
          <w:rFonts w:eastAsia="Calibri"/>
          <w:iCs/>
          <w:sz w:val="28"/>
          <w:szCs w:val="28"/>
          <w:lang w:eastAsia="ru-RU"/>
        </w:rPr>
        <w:t>ї</w:t>
      </w:r>
      <w:r w:rsidRPr="004367AF">
        <w:rPr>
          <w:rFonts w:eastAsia="Calibri"/>
          <w:iCs/>
          <w:sz w:val="28"/>
          <w:szCs w:val="28"/>
          <w:lang w:eastAsia="ru-RU"/>
        </w:rPr>
        <w:t xml:space="preserve"> та ОБСЄ/БДІПЛ «</w:t>
      </w:r>
      <w:r w:rsidRPr="004367AF">
        <w:rPr>
          <w:sz w:val="28"/>
          <w:szCs w:val="28"/>
        </w:rPr>
        <w:t xml:space="preserve">b) </w:t>
      </w:r>
      <w:r w:rsidRPr="00CF53FB">
        <w:rPr>
          <w:i/>
          <w:iCs/>
          <w:sz w:val="28"/>
          <w:szCs w:val="28"/>
        </w:rPr>
        <w:t>Пропаганда:</w:t>
      </w:r>
      <w:r w:rsidRPr="004367AF">
        <w:rPr>
          <w:i/>
          <w:iCs/>
          <w:sz w:val="28"/>
          <w:szCs w:val="28"/>
        </w:rPr>
        <w:t xml:space="preserve"> </w:t>
      </w:r>
      <w:r w:rsidRPr="004367AF">
        <w:rPr>
          <w:sz w:val="28"/>
          <w:szCs w:val="28"/>
        </w:rPr>
        <w:t>це поняття має бути чітко визначеним, особливо коли воно застосовується у ц</w:t>
      </w:r>
      <w:r w:rsidR="004367AF" w:rsidRPr="004367AF">
        <w:rPr>
          <w:sz w:val="28"/>
          <w:szCs w:val="28"/>
        </w:rPr>
        <w:t xml:space="preserve">ілях криміналізації певних дій». </w:t>
      </w:r>
      <w:r w:rsidR="004367AF">
        <w:rPr>
          <w:sz w:val="28"/>
          <w:szCs w:val="28"/>
        </w:rPr>
        <w:t>П</w:t>
      </w:r>
      <w:r w:rsidR="004367AF" w:rsidRPr="00DC177B">
        <w:rPr>
          <w:sz w:val="28"/>
          <w:szCs w:val="28"/>
        </w:rPr>
        <w:t>оєднання широти, нечіткості, відкритості, браку об'єк</w:t>
      </w:r>
      <w:r w:rsidR="004367AF" w:rsidRPr="00DC177B">
        <w:rPr>
          <w:sz w:val="28"/>
          <w:szCs w:val="28"/>
        </w:rPr>
        <w:lastRenderedPageBreak/>
        <w:t xml:space="preserve">тивних ознак для ідентифікації та розпливчастості значення </w:t>
      </w:r>
      <w:r w:rsidR="004367AF">
        <w:rPr>
          <w:sz w:val="28"/>
          <w:szCs w:val="28"/>
        </w:rPr>
        <w:t xml:space="preserve">терміну «пропаганда» </w:t>
      </w:r>
      <w:r w:rsidR="004367AF" w:rsidRPr="00DC177B">
        <w:rPr>
          <w:sz w:val="28"/>
          <w:szCs w:val="28"/>
        </w:rPr>
        <w:t>залишає питання застосовності</w:t>
      </w:r>
      <w:r w:rsidR="004367AF" w:rsidRPr="004367AF">
        <w:rPr>
          <w:sz w:val="28"/>
          <w:szCs w:val="28"/>
        </w:rPr>
        <w:t xml:space="preserve"> </w:t>
      </w:r>
      <w:r w:rsidR="004367AF" w:rsidRPr="00DC177B">
        <w:rPr>
          <w:sz w:val="28"/>
          <w:szCs w:val="28"/>
        </w:rPr>
        <w:t xml:space="preserve">положень </w:t>
      </w:r>
      <w:r w:rsidR="004367AF">
        <w:rPr>
          <w:sz w:val="28"/>
          <w:szCs w:val="28"/>
        </w:rPr>
        <w:t xml:space="preserve">майбутнього закону (у разі його ухвалення) </w:t>
      </w:r>
      <w:r w:rsidR="004367AF" w:rsidRPr="00DC177B">
        <w:rPr>
          <w:sz w:val="28"/>
          <w:szCs w:val="28"/>
        </w:rPr>
        <w:t xml:space="preserve">щодо того, які </w:t>
      </w:r>
      <w:r w:rsidR="004367AF">
        <w:rPr>
          <w:sz w:val="28"/>
          <w:szCs w:val="28"/>
        </w:rPr>
        <w:t>саме дії (та/або бездіяльність)</w:t>
      </w:r>
      <w:r w:rsidR="004367AF" w:rsidRPr="00DC177B">
        <w:rPr>
          <w:sz w:val="28"/>
          <w:szCs w:val="28"/>
        </w:rPr>
        <w:t xml:space="preserve"> можуть бути заборонені – майже цілковито на розсуд державних органів.</w:t>
      </w:r>
      <w:r w:rsidR="004367AF" w:rsidRPr="004367AF">
        <w:rPr>
          <w:sz w:val="28"/>
          <w:szCs w:val="28"/>
        </w:rPr>
        <w:t xml:space="preserve"> </w:t>
      </w:r>
      <w:r w:rsidR="004367AF" w:rsidRPr="00DC177B">
        <w:rPr>
          <w:sz w:val="28"/>
          <w:szCs w:val="28"/>
        </w:rPr>
        <w:t xml:space="preserve">Таке поєднання може призвести до ситуації, коли особа може порушити положення </w:t>
      </w:r>
      <w:r w:rsidR="004367AF">
        <w:rPr>
          <w:sz w:val="28"/>
          <w:szCs w:val="28"/>
        </w:rPr>
        <w:t xml:space="preserve">закону </w:t>
      </w:r>
      <w:r w:rsidR="004367AF" w:rsidRPr="00DC177B">
        <w:rPr>
          <w:sz w:val="28"/>
          <w:szCs w:val="28"/>
        </w:rPr>
        <w:t xml:space="preserve">випадково й неумисно. Насправді, виходячи з тексту </w:t>
      </w:r>
      <w:r w:rsidR="004367AF">
        <w:rPr>
          <w:sz w:val="28"/>
          <w:szCs w:val="28"/>
        </w:rPr>
        <w:t>законопроекту</w:t>
      </w:r>
      <w:r w:rsidR="004367AF" w:rsidRPr="00DC177B">
        <w:rPr>
          <w:sz w:val="28"/>
          <w:szCs w:val="28"/>
        </w:rPr>
        <w:t xml:space="preserve">, особа буде майже нездатною </w:t>
      </w:r>
      <w:r w:rsidR="00FB3FB9">
        <w:rPr>
          <w:sz w:val="28"/>
          <w:szCs w:val="28"/>
        </w:rPr>
        <w:t>усвідомлювати</w:t>
      </w:r>
      <w:r w:rsidR="004367AF" w:rsidRPr="00DC177B">
        <w:rPr>
          <w:sz w:val="28"/>
          <w:szCs w:val="28"/>
        </w:rPr>
        <w:t xml:space="preserve"> сво</w:t>
      </w:r>
      <w:r w:rsidR="00FB3FB9">
        <w:rPr>
          <w:sz w:val="28"/>
          <w:szCs w:val="28"/>
        </w:rPr>
        <w:t>ю</w:t>
      </w:r>
      <w:r w:rsidR="004367AF" w:rsidRPr="00DC177B">
        <w:rPr>
          <w:sz w:val="28"/>
          <w:szCs w:val="28"/>
        </w:rPr>
        <w:t xml:space="preserve"> поведінк</w:t>
      </w:r>
      <w:r w:rsidR="00FB3FB9">
        <w:rPr>
          <w:sz w:val="28"/>
          <w:szCs w:val="28"/>
        </w:rPr>
        <w:t>у</w:t>
      </w:r>
      <w:r w:rsidR="004367AF" w:rsidRPr="00DC177B">
        <w:rPr>
          <w:sz w:val="28"/>
          <w:szCs w:val="28"/>
        </w:rPr>
        <w:t xml:space="preserve"> як законн</w:t>
      </w:r>
      <w:r w:rsidR="00FB3FB9">
        <w:rPr>
          <w:sz w:val="28"/>
          <w:szCs w:val="28"/>
        </w:rPr>
        <w:t>у</w:t>
      </w:r>
      <w:r w:rsidR="004367AF" w:rsidRPr="00DC177B">
        <w:rPr>
          <w:sz w:val="28"/>
          <w:szCs w:val="28"/>
        </w:rPr>
        <w:t xml:space="preserve"> чи незаконн</w:t>
      </w:r>
      <w:r w:rsidR="00FB3FB9">
        <w:rPr>
          <w:sz w:val="28"/>
          <w:szCs w:val="28"/>
        </w:rPr>
        <w:t>у</w:t>
      </w:r>
      <w:r w:rsidR="004367AF" w:rsidRPr="00DC177B">
        <w:rPr>
          <w:sz w:val="28"/>
          <w:szCs w:val="28"/>
        </w:rPr>
        <w:t>.</w:t>
      </w:r>
    </w:p>
    <w:p w:rsidR="004367AF" w:rsidRPr="001E5F24" w:rsidRDefault="008D71AA" w:rsidP="004367AF">
      <w:pPr>
        <w:ind w:firstLine="709"/>
        <w:jc w:val="both"/>
        <w:rPr>
          <w:rFonts w:eastAsiaTheme="minorHAnsi"/>
          <w:sz w:val="28"/>
          <w:szCs w:val="28"/>
          <w:lang w:eastAsia="en-US"/>
        </w:rPr>
      </w:pPr>
      <w:r>
        <w:rPr>
          <w:sz w:val="28"/>
          <w:szCs w:val="28"/>
        </w:rPr>
        <w:t>Тому в</w:t>
      </w:r>
      <w:r w:rsidR="004367AF" w:rsidRPr="001E5F24">
        <w:rPr>
          <w:sz w:val="28"/>
          <w:szCs w:val="28"/>
        </w:rPr>
        <w:t xml:space="preserve">казані положення проекту потребують законодавчого уточнення з метою дотримання принципу юридичної  визначеності як складової верховенства права. </w:t>
      </w:r>
    </w:p>
    <w:p w:rsidR="00CF53FB" w:rsidRPr="008D71AA" w:rsidRDefault="00CF53FB" w:rsidP="008D71AA">
      <w:pPr>
        <w:ind w:firstLine="708"/>
        <w:jc w:val="both"/>
        <w:rPr>
          <w:sz w:val="28"/>
          <w:szCs w:val="28"/>
        </w:rPr>
      </w:pPr>
      <w:r w:rsidRPr="008D71AA">
        <w:rPr>
          <w:b/>
          <w:sz w:val="28"/>
          <w:szCs w:val="28"/>
        </w:rPr>
        <w:t>6.</w:t>
      </w:r>
      <w:r w:rsidRPr="008D71AA">
        <w:rPr>
          <w:sz w:val="28"/>
          <w:szCs w:val="28"/>
        </w:rPr>
        <w:t xml:space="preserve"> Аналіз запропонованої диспозиції ч. 2 ст. 436-1 КК (у редакції проекту) свідчить про те, що однією із форм об'єктивної сторони даного складу злочину є </w:t>
      </w:r>
      <w:r w:rsidRPr="008D71AA">
        <w:rPr>
          <w:sz w:val="28"/>
          <w:szCs w:val="28"/>
          <w:u w:val="single"/>
        </w:rPr>
        <w:t>поширення інформації, спрямованої на виправдання злочинного характеру ідей російського світу («руского міра»)</w:t>
      </w:r>
      <w:r w:rsidRPr="008D71AA">
        <w:rPr>
          <w:sz w:val="28"/>
          <w:szCs w:val="28"/>
        </w:rPr>
        <w:t xml:space="preserve">. </w:t>
      </w:r>
      <w:r w:rsidR="00FB3FB9">
        <w:rPr>
          <w:sz w:val="28"/>
          <w:szCs w:val="28"/>
        </w:rPr>
        <w:t xml:space="preserve">Однак такий опис ознак злочину не дає можливості застосувати приписи закону на практиці, оскільки неможливо зрозуміти, які саме факти чи обставини слід довести для доведення </w:t>
      </w:r>
      <w:r w:rsidR="005316A7">
        <w:rPr>
          <w:sz w:val="28"/>
          <w:szCs w:val="28"/>
        </w:rPr>
        <w:t xml:space="preserve">такого діяння, як «виправдання злочинного характеру ідей». Вжиття у даному разі слова «злочинний» дає підстави для припущення, що </w:t>
      </w:r>
      <w:r w:rsidRPr="008D71AA">
        <w:rPr>
          <w:sz w:val="28"/>
          <w:szCs w:val="28"/>
        </w:rPr>
        <w:t xml:space="preserve">вищезазначений </w:t>
      </w:r>
      <w:r w:rsidR="005316A7">
        <w:rPr>
          <w:sz w:val="28"/>
          <w:szCs w:val="28"/>
        </w:rPr>
        <w:t>спосіб вчинення злочину</w:t>
      </w:r>
      <w:r w:rsidRPr="008D71AA">
        <w:rPr>
          <w:sz w:val="28"/>
          <w:szCs w:val="28"/>
        </w:rPr>
        <w:t xml:space="preserve"> безпосередньо має бути пов’язаний із певним предикатним кримінальним правопорушенням. Зважаючи на те, що чинний КК не передбачає норми (норм), яка (які) б визначила (визначили), які саме ідеї російського світу («руского міра») є злочинними, використання словосполучення </w:t>
      </w:r>
      <w:r w:rsidRPr="008D71AA">
        <w:rPr>
          <w:sz w:val="28"/>
          <w:szCs w:val="28"/>
        </w:rPr>
        <w:lastRenderedPageBreak/>
        <w:t>«злочинного характеру ідей російського світу» унеможливить процес притягнення відповідної особи до кримінальної відповідальності.</w:t>
      </w:r>
    </w:p>
    <w:p w:rsidR="00CF53FB" w:rsidRPr="008D71AA" w:rsidRDefault="00CF53FB" w:rsidP="008D71AA">
      <w:pPr>
        <w:ind w:firstLine="708"/>
        <w:jc w:val="both"/>
        <w:rPr>
          <w:sz w:val="28"/>
          <w:szCs w:val="28"/>
        </w:rPr>
      </w:pPr>
      <w:r w:rsidRPr="008D71AA">
        <w:rPr>
          <w:b/>
          <w:sz w:val="28"/>
          <w:szCs w:val="28"/>
        </w:rPr>
        <w:t>7.</w:t>
      </w:r>
      <w:r w:rsidRPr="008D71AA">
        <w:rPr>
          <w:sz w:val="28"/>
          <w:szCs w:val="28"/>
        </w:rPr>
        <w:t xml:space="preserve"> Звертаємо увагу, що до кримінально-караної пропаганди «російського світу» («руского міра») суб'єкти права законодавчої ініціативи пропонують віднести </w:t>
      </w:r>
      <w:r w:rsidRPr="008D71AA">
        <w:rPr>
          <w:i/>
          <w:sz w:val="28"/>
          <w:szCs w:val="28"/>
        </w:rPr>
        <w:t>заклики до проведення мітингів, демонстрацій, протестів під гаслами приєднання окремих регіонів України до Російської Федерації</w:t>
      </w:r>
      <w:r w:rsidRPr="008D71AA">
        <w:rPr>
          <w:sz w:val="28"/>
          <w:szCs w:val="28"/>
        </w:rPr>
        <w:t xml:space="preserve">. Буквальне тлумачення запропонованої норми свідчить про те, що мова йде не тільки про </w:t>
      </w:r>
      <w:r w:rsidRPr="008D71AA">
        <w:rPr>
          <w:sz w:val="28"/>
          <w:szCs w:val="28"/>
          <w:u w:val="single"/>
        </w:rPr>
        <w:t>публічні</w:t>
      </w:r>
      <w:r w:rsidRPr="008D71AA">
        <w:rPr>
          <w:sz w:val="28"/>
          <w:szCs w:val="28"/>
        </w:rPr>
        <w:t xml:space="preserve"> заклики до проведення мітингів, демонстрацій, протестів з відповідними гаслами, а й про заклики у вигляді звернення до визначеного кола осіб, в якому висловлюються ідеї, погляди чи вимоги, спрямовані на те, щоб шляхом поширення їх серед вищевказаних осіб схилити їх до проведення мітингів, демонстрацій, протестів під гаслами приєднання окремих регіонів України до Російської Федерації. У такому випадку кримінальній відповідальності буде підлягати, наприклад, батько, який закликає інших членів своєї сім'ї (чітко визначене та незначне коло осіб) до проведення демонстрації під гаслами приєднання окремих регіонів України до Російської Федерації. </w:t>
      </w:r>
    </w:p>
    <w:p w:rsidR="00CF53FB" w:rsidRPr="008D71AA" w:rsidRDefault="005316A7" w:rsidP="00CF53FB">
      <w:pPr>
        <w:ind w:firstLine="709"/>
        <w:jc w:val="both"/>
        <w:rPr>
          <w:sz w:val="28"/>
          <w:szCs w:val="28"/>
        </w:rPr>
      </w:pPr>
      <w:r>
        <w:rPr>
          <w:sz w:val="28"/>
          <w:szCs w:val="28"/>
        </w:rPr>
        <w:t>Я</w:t>
      </w:r>
      <w:r w:rsidR="00CF53FB" w:rsidRPr="008D71AA">
        <w:rPr>
          <w:sz w:val="28"/>
          <w:szCs w:val="28"/>
        </w:rPr>
        <w:t>кщо</w:t>
      </w:r>
      <w:r>
        <w:rPr>
          <w:sz w:val="28"/>
          <w:szCs w:val="28"/>
        </w:rPr>
        <w:t xml:space="preserve"> ж</w:t>
      </w:r>
      <w:r w:rsidR="00CF53FB" w:rsidRPr="008D71AA">
        <w:rPr>
          <w:sz w:val="28"/>
          <w:szCs w:val="28"/>
        </w:rPr>
        <w:t xml:space="preserve"> у проекті </w:t>
      </w:r>
      <w:r w:rsidR="00C03B88">
        <w:rPr>
          <w:sz w:val="28"/>
          <w:szCs w:val="28"/>
        </w:rPr>
        <w:t>мались на увазі</w:t>
      </w:r>
      <w:r w:rsidR="00CF53FB" w:rsidRPr="008D71AA">
        <w:rPr>
          <w:sz w:val="28"/>
          <w:szCs w:val="28"/>
        </w:rPr>
        <w:t xml:space="preserve"> публічні заклики до проведення мітингів, демонстрацій, протестів під гаслами приєднання окремих регіонів України до Російської Федерації, то такі дії охоплюються наразі чинною ст. 110 КК (</w:t>
      </w:r>
      <w:r>
        <w:rPr>
          <w:sz w:val="28"/>
          <w:szCs w:val="28"/>
        </w:rPr>
        <w:t>«</w:t>
      </w:r>
      <w:r w:rsidR="00CF53FB" w:rsidRPr="008D71AA">
        <w:rPr>
          <w:sz w:val="28"/>
          <w:szCs w:val="28"/>
        </w:rPr>
        <w:t>Посягання на територіальну цілісність і недоторканність України</w:t>
      </w:r>
      <w:r>
        <w:rPr>
          <w:sz w:val="28"/>
          <w:szCs w:val="28"/>
        </w:rPr>
        <w:t>»</w:t>
      </w:r>
      <w:r w:rsidR="00CF53FB" w:rsidRPr="008D71AA">
        <w:rPr>
          <w:sz w:val="28"/>
          <w:szCs w:val="28"/>
        </w:rPr>
        <w:t>).</w:t>
      </w:r>
    </w:p>
    <w:p w:rsidR="00CF53FB" w:rsidRPr="008D71AA" w:rsidRDefault="00CF53FB" w:rsidP="008D71AA">
      <w:pPr>
        <w:ind w:firstLine="708"/>
        <w:jc w:val="both"/>
        <w:rPr>
          <w:sz w:val="28"/>
          <w:szCs w:val="28"/>
        </w:rPr>
      </w:pPr>
      <w:r w:rsidRPr="008D71AA">
        <w:rPr>
          <w:b/>
          <w:sz w:val="28"/>
          <w:szCs w:val="28"/>
        </w:rPr>
        <w:t>8.</w:t>
      </w:r>
      <w:r w:rsidRPr="008D71AA">
        <w:rPr>
          <w:sz w:val="28"/>
          <w:szCs w:val="28"/>
        </w:rPr>
        <w:t xml:space="preserve"> Однією із форм об'єктивної сторони складу злочину, передбаченого ч. 2 ст. 436-1 КК (у редакції проекту), пропонується визнати публічні висловлювання осіб, які виправдовують військову </w:t>
      </w:r>
      <w:r w:rsidRPr="008D71AA">
        <w:rPr>
          <w:sz w:val="28"/>
          <w:szCs w:val="28"/>
        </w:rPr>
        <w:lastRenderedPageBreak/>
        <w:t xml:space="preserve">агресію проти України «для захисту російського і російськомовного населення». Тобто, </w:t>
      </w:r>
      <w:r w:rsidR="00C03B88">
        <w:rPr>
          <w:sz w:val="28"/>
          <w:szCs w:val="28"/>
        </w:rPr>
        <w:t>в</w:t>
      </w:r>
      <w:r w:rsidRPr="008D71AA">
        <w:rPr>
          <w:sz w:val="28"/>
          <w:szCs w:val="28"/>
        </w:rPr>
        <w:t>ідповідн</w:t>
      </w:r>
      <w:r w:rsidR="00C03B88">
        <w:rPr>
          <w:sz w:val="28"/>
          <w:szCs w:val="28"/>
        </w:rPr>
        <w:t>і</w:t>
      </w:r>
      <w:r w:rsidRPr="008D71AA">
        <w:rPr>
          <w:sz w:val="28"/>
          <w:szCs w:val="28"/>
        </w:rPr>
        <w:t xml:space="preserve"> публічн</w:t>
      </w:r>
      <w:r w:rsidR="00C03B88">
        <w:rPr>
          <w:sz w:val="28"/>
          <w:szCs w:val="28"/>
        </w:rPr>
        <w:t>і</w:t>
      </w:r>
      <w:r w:rsidRPr="008D71AA">
        <w:rPr>
          <w:sz w:val="28"/>
          <w:szCs w:val="28"/>
        </w:rPr>
        <w:t xml:space="preserve"> висловлюван</w:t>
      </w:r>
      <w:r w:rsidR="00C03B88">
        <w:rPr>
          <w:sz w:val="28"/>
          <w:szCs w:val="28"/>
        </w:rPr>
        <w:t>ня переслідуватимуться лиш</w:t>
      </w:r>
      <w:r w:rsidR="00E33BB8">
        <w:rPr>
          <w:sz w:val="28"/>
          <w:szCs w:val="28"/>
        </w:rPr>
        <w:t>е у тому разі, коли агресія буде</w:t>
      </w:r>
      <w:r w:rsidR="00C03B88">
        <w:rPr>
          <w:sz w:val="28"/>
          <w:szCs w:val="28"/>
        </w:rPr>
        <w:t xml:space="preserve"> виправдовуватись посиланнями на </w:t>
      </w:r>
      <w:r w:rsidRPr="008D71AA">
        <w:rPr>
          <w:sz w:val="28"/>
          <w:szCs w:val="28"/>
        </w:rPr>
        <w:t xml:space="preserve">«захист російського і російськомовного населення». А отже, публічні висловлювання осіб, які виправдовують </w:t>
      </w:r>
      <w:r w:rsidR="00C03B88">
        <w:rPr>
          <w:sz w:val="28"/>
          <w:szCs w:val="28"/>
        </w:rPr>
        <w:t>військову агресію проти України якимись іншими причинами чи приводами</w:t>
      </w:r>
      <w:r w:rsidRPr="008D71AA">
        <w:rPr>
          <w:sz w:val="28"/>
          <w:szCs w:val="28"/>
        </w:rPr>
        <w:t xml:space="preserve">, не </w:t>
      </w:r>
      <w:r w:rsidR="00C03B88">
        <w:rPr>
          <w:sz w:val="28"/>
          <w:szCs w:val="28"/>
        </w:rPr>
        <w:t>будуть</w:t>
      </w:r>
      <w:r w:rsidRPr="008D71AA">
        <w:rPr>
          <w:sz w:val="28"/>
          <w:szCs w:val="28"/>
        </w:rPr>
        <w:t xml:space="preserve"> кримінально-караними. </w:t>
      </w:r>
    </w:p>
    <w:p w:rsidR="00CF53FB" w:rsidRPr="008D71AA" w:rsidRDefault="00CF53FB" w:rsidP="008D71AA">
      <w:pPr>
        <w:ind w:firstLine="708"/>
        <w:jc w:val="both"/>
        <w:rPr>
          <w:sz w:val="28"/>
          <w:szCs w:val="28"/>
        </w:rPr>
      </w:pPr>
      <w:r w:rsidRPr="008D71AA">
        <w:rPr>
          <w:b/>
          <w:sz w:val="28"/>
          <w:szCs w:val="28"/>
        </w:rPr>
        <w:t xml:space="preserve">9. </w:t>
      </w:r>
      <w:r w:rsidRPr="008D71AA">
        <w:rPr>
          <w:sz w:val="28"/>
          <w:szCs w:val="28"/>
        </w:rPr>
        <w:t xml:space="preserve">Діяння у вигляді поширення «загальноросійської ідеї об'єднання українського, білоруського та російського народів в єдиний «триєдиний» російський народ» (ч. 2 ст. 436-1 КК у редакції проекту), на наш погляд, не можна розглядати як злочин, оскільки воно саме по собі не становить суспільної небезпеки, необхідної та достатньої для визнання його злочином (див. ч. 1 ст. 11 КК). </w:t>
      </w:r>
    </w:p>
    <w:p w:rsidR="00CF53FB" w:rsidRPr="008D71AA" w:rsidRDefault="00CF53FB" w:rsidP="00CF53FB">
      <w:pPr>
        <w:ind w:firstLine="709"/>
        <w:jc w:val="both"/>
        <w:rPr>
          <w:sz w:val="28"/>
          <w:szCs w:val="28"/>
        </w:rPr>
      </w:pPr>
      <w:r w:rsidRPr="008D71AA">
        <w:rPr>
          <w:sz w:val="28"/>
          <w:szCs w:val="28"/>
        </w:rPr>
        <w:t>Окрім того, зі змісту наведено</w:t>
      </w:r>
      <w:r w:rsidR="00C03B88">
        <w:rPr>
          <w:sz w:val="28"/>
          <w:szCs w:val="28"/>
        </w:rPr>
        <w:t>го вище формулювання</w:t>
      </w:r>
      <w:r w:rsidRPr="008D71AA">
        <w:rPr>
          <w:sz w:val="28"/>
          <w:szCs w:val="28"/>
        </w:rPr>
        <w:t xml:space="preserve"> незрозуміло, що слід визнавати «загальноросійською ідеєю»</w:t>
      </w:r>
      <w:r w:rsidR="00C03B88">
        <w:rPr>
          <w:sz w:val="28"/>
          <w:szCs w:val="28"/>
        </w:rPr>
        <w:t xml:space="preserve">. </w:t>
      </w:r>
    </w:p>
    <w:p w:rsidR="00CF53FB" w:rsidRPr="008D71AA" w:rsidRDefault="00CF53FB" w:rsidP="008D71AA">
      <w:pPr>
        <w:ind w:firstLine="708"/>
        <w:jc w:val="both"/>
        <w:rPr>
          <w:bCs/>
          <w:sz w:val="28"/>
          <w:szCs w:val="28"/>
          <w:shd w:val="clear" w:color="auto" w:fill="FFFFFF"/>
        </w:rPr>
      </w:pPr>
      <w:r w:rsidRPr="008D71AA">
        <w:rPr>
          <w:b/>
          <w:sz w:val="28"/>
          <w:szCs w:val="28"/>
        </w:rPr>
        <w:t>10.</w:t>
      </w:r>
      <w:r w:rsidRPr="008D71AA">
        <w:rPr>
          <w:sz w:val="28"/>
          <w:szCs w:val="28"/>
        </w:rPr>
        <w:t xml:space="preserve"> Санкцію ч. 2 ст. 436-1 КК пропонується викласти в наступній редакції: «карається обмеженням волі на строк до п’яти років або позбавленням волі на той самий строк, </w:t>
      </w:r>
      <w:r w:rsidRPr="008D71AA">
        <w:rPr>
          <w:sz w:val="28"/>
          <w:szCs w:val="28"/>
          <w:u w:val="single"/>
        </w:rPr>
        <w:t>з конфіскацією майна або без такої</w:t>
      </w:r>
      <w:r w:rsidRPr="008D71AA">
        <w:rPr>
          <w:sz w:val="28"/>
          <w:szCs w:val="28"/>
        </w:rPr>
        <w:t xml:space="preserve">». Звертаємо увагу, що відповідно до ч. 2 ст. 59 КК </w:t>
      </w:r>
      <w:r w:rsidRPr="008D71AA">
        <w:rPr>
          <w:sz w:val="28"/>
          <w:szCs w:val="28"/>
          <w:shd w:val="clear" w:color="auto" w:fill="FFFFFF"/>
        </w:rPr>
        <w:t>конфіскація майна встановлюється за тяжкі та особливо тяжкі корисливі злочини, а також за злочини проти основ національної безпеки України та громадської безпеки незалежно від ступеня їх тяжкості і може бути призначена лише у випадках, спеціально передбачених в Особливій частині цього Кодексу. Натомість, запропонований склад злочину, передбачений</w:t>
      </w:r>
      <w:r w:rsidRPr="008D71AA">
        <w:rPr>
          <w:sz w:val="28"/>
          <w:szCs w:val="28"/>
        </w:rPr>
        <w:t xml:space="preserve"> ч. 2 ст. 436-1 КК (у редакції проекту), відноситься до злочину середньої тяжкості (ч. 3 ст. 12 КК) та є злочином </w:t>
      </w:r>
      <w:r w:rsidRPr="008D71AA">
        <w:rPr>
          <w:bCs/>
          <w:sz w:val="28"/>
          <w:szCs w:val="28"/>
          <w:shd w:val="clear" w:color="auto" w:fill="FFFFFF"/>
        </w:rPr>
        <w:t xml:space="preserve">проти миру, безпеки людства та міжнародного правопорядку. </w:t>
      </w:r>
    </w:p>
    <w:p w:rsidR="004E3D92" w:rsidRPr="008D71AA" w:rsidRDefault="004E3D92" w:rsidP="008D71AA">
      <w:pPr>
        <w:ind w:firstLine="708"/>
        <w:jc w:val="both"/>
        <w:rPr>
          <w:sz w:val="28"/>
          <w:szCs w:val="28"/>
        </w:rPr>
      </w:pPr>
      <w:r w:rsidRPr="008D71AA">
        <w:rPr>
          <w:b/>
          <w:bCs/>
          <w:sz w:val="28"/>
          <w:szCs w:val="28"/>
          <w:shd w:val="clear" w:color="auto" w:fill="FFFFFF"/>
        </w:rPr>
        <w:lastRenderedPageBreak/>
        <w:t>11</w:t>
      </w:r>
      <w:r w:rsidRPr="008D71AA">
        <w:rPr>
          <w:bCs/>
          <w:sz w:val="28"/>
          <w:szCs w:val="28"/>
          <w:shd w:val="clear" w:color="auto" w:fill="FFFFFF"/>
        </w:rPr>
        <w:t xml:space="preserve">. </w:t>
      </w:r>
      <w:r w:rsidR="00C03B88">
        <w:rPr>
          <w:bCs/>
          <w:sz w:val="28"/>
          <w:szCs w:val="28"/>
          <w:shd w:val="clear" w:color="auto" w:fill="FFFFFF"/>
        </w:rPr>
        <w:t xml:space="preserve">У </w:t>
      </w:r>
      <w:r w:rsidRPr="008D71AA">
        <w:rPr>
          <w:sz w:val="28"/>
          <w:szCs w:val="28"/>
        </w:rPr>
        <w:t>законопроект</w:t>
      </w:r>
      <w:r w:rsidR="00C03B88">
        <w:rPr>
          <w:sz w:val="28"/>
          <w:szCs w:val="28"/>
        </w:rPr>
        <w:t>і</w:t>
      </w:r>
      <w:r w:rsidRPr="008D71AA">
        <w:rPr>
          <w:sz w:val="28"/>
          <w:szCs w:val="28"/>
        </w:rPr>
        <w:t xml:space="preserve"> пропонується внести зміни до статті 5 Закону України «Про політичні партії» та встановити, що утворення і діяльність політичних партій забороняється, якщо їх програмні цілі або дії спрямовані на пропаганду «російського світу» («руского міра»).</w:t>
      </w:r>
    </w:p>
    <w:p w:rsidR="004E3D92" w:rsidRPr="008D71AA" w:rsidRDefault="004E3D92" w:rsidP="004E3D92">
      <w:pPr>
        <w:ind w:firstLine="709"/>
        <w:jc w:val="both"/>
        <w:rPr>
          <w:sz w:val="28"/>
          <w:szCs w:val="28"/>
        </w:rPr>
      </w:pPr>
      <w:r w:rsidRPr="008D71AA">
        <w:rPr>
          <w:sz w:val="28"/>
          <w:szCs w:val="28"/>
        </w:rPr>
        <w:t>Крім того, відповідно до підп.</w:t>
      </w:r>
      <w:r w:rsidR="00C03B88">
        <w:rPr>
          <w:sz w:val="28"/>
          <w:szCs w:val="28"/>
        </w:rPr>
        <w:t xml:space="preserve"> </w:t>
      </w:r>
      <w:r w:rsidRPr="008D71AA">
        <w:rPr>
          <w:sz w:val="28"/>
          <w:szCs w:val="28"/>
        </w:rPr>
        <w:t>2 пункту 2 Розділу ІІ проекту  запропоновані зміни до статті 52 Закону України «Про вибори Президента України», якими передбачено, що Центральна виборча комісія відмовляє у реєстрації кандидата на пост Президента України у разі висування кандидата на пост Президента України від партії, яка здійснює пропаганду «російського світу» («руского міра»). Аналогічні зміни пропонуються до статті 60 Закону України «Про вибори народних депутатів» (підп.9 пункту 2 Розділу ІІ проекту).</w:t>
      </w:r>
    </w:p>
    <w:p w:rsidR="004E3D92" w:rsidRPr="008D71AA" w:rsidRDefault="004E3D92" w:rsidP="004E3D92">
      <w:pPr>
        <w:ind w:firstLine="709"/>
        <w:jc w:val="both"/>
        <w:rPr>
          <w:sz w:val="28"/>
          <w:szCs w:val="28"/>
        </w:rPr>
      </w:pPr>
      <w:r w:rsidRPr="008D71AA">
        <w:rPr>
          <w:sz w:val="28"/>
          <w:szCs w:val="28"/>
        </w:rPr>
        <w:t xml:space="preserve">Тим самим </w:t>
      </w:r>
      <w:r w:rsidR="008D71AA" w:rsidRPr="008D71AA">
        <w:rPr>
          <w:sz w:val="28"/>
          <w:szCs w:val="28"/>
        </w:rPr>
        <w:t>у проекті (</w:t>
      </w:r>
      <w:r w:rsidRPr="008D71AA">
        <w:rPr>
          <w:sz w:val="28"/>
          <w:szCs w:val="28"/>
        </w:rPr>
        <w:t>до</w:t>
      </w:r>
      <w:r w:rsidR="008D71AA" w:rsidRPr="008D71AA">
        <w:rPr>
          <w:sz w:val="28"/>
          <w:szCs w:val="28"/>
        </w:rPr>
        <w:t xml:space="preserve"> речі</w:t>
      </w:r>
      <w:r w:rsidR="008D71AA">
        <w:rPr>
          <w:sz w:val="28"/>
          <w:szCs w:val="28"/>
        </w:rPr>
        <w:t>,</w:t>
      </w:r>
      <w:r w:rsidRPr="008D71AA">
        <w:rPr>
          <w:sz w:val="28"/>
          <w:szCs w:val="28"/>
        </w:rPr>
        <w:t xml:space="preserve"> як і чинним виборчим законодавством</w:t>
      </w:r>
      <w:r w:rsidR="008D71AA" w:rsidRPr="008D71AA">
        <w:rPr>
          <w:sz w:val="28"/>
          <w:szCs w:val="28"/>
        </w:rPr>
        <w:t>)</w:t>
      </w:r>
      <w:r w:rsidRPr="008D71AA">
        <w:rPr>
          <w:sz w:val="28"/>
          <w:szCs w:val="28"/>
        </w:rPr>
        <w:t xml:space="preserve"> передбачена відмова виборчо</w:t>
      </w:r>
      <w:r w:rsidR="00C03B88">
        <w:rPr>
          <w:sz w:val="28"/>
          <w:szCs w:val="28"/>
        </w:rPr>
        <w:t>ї</w:t>
      </w:r>
      <w:r w:rsidRPr="008D71AA">
        <w:rPr>
          <w:sz w:val="28"/>
          <w:szCs w:val="28"/>
        </w:rPr>
        <w:t xml:space="preserve"> комісі</w:t>
      </w:r>
      <w:r w:rsidR="00C03B88">
        <w:rPr>
          <w:sz w:val="28"/>
          <w:szCs w:val="28"/>
        </w:rPr>
        <w:t>ї</w:t>
      </w:r>
      <w:r w:rsidRPr="008D71AA">
        <w:rPr>
          <w:sz w:val="28"/>
          <w:szCs w:val="28"/>
        </w:rPr>
        <w:t xml:space="preserve"> у реєстрації кандидатів від партії</w:t>
      </w:r>
      <w:r w:rsidR="00C03B88">
        <w:rPr>
          <w:sz w:val="28"/>
          <w:szCs w:val="28"/>
        </w:rPr>
        <w:t>,</w:t>
      </w:r>
      <w:r w:rsidRPr="008D71AA">
        <w:rPr>
          <w:sz w:val="28"/>
          <w:szCs w:val="28"/>
        </w:rPr>
        <w:t xml:space="preserve"> щодо якої в установленому Кабінетом Міністрів України порядку прийнято рішення про невідповідність її діяльності, найменування та/або символіки вимогам Закон</w:t>
      </w:r>
      <w:r w:rsidR="00C03B88">
        <w:rPr>
          <w:sz w:val="28"/>
          <w:szCs w:val="28"/>
        </w:rPr>
        <w:t>у</w:t>
      </w:r>
      <w:r w:rsidRPr="008D71AA">
        <w:rPr>
          <w:sz w:val="28"/>
          <w:szCs w:val="28"/>
        </w:rPr>
        <w:t xml:space="preserve"> України «Про засудження «російського світу» («руского міра»), </w:t>
      </w:r>
      <w:r w:rsidRPr="008D71AA">
        <w:rPr>
          <w:bCs/>
          <w:sz w:val="28"/>
          <w:szCs w:val="28"/>
        </w:rPr>
        <w:t>комуністичного та націонал-соціалістичного (нацистського) тоталітарних режимів в Україні, заборону пропаганди їхньої символіки</w:t>
      </w:r>
      <w:r w:rsidRPr="008D71AA">
        <w:rPr>
          <w:sz w:val="28"/>
          <w:szCs w:val="28"/>
        </w:rPr>
        <w:t xml:space="preserve">». </w:t>
      </w:r>
    </w:p>
    <w:p w:rsidR="004E3D92" w:rsidRPr="008D71AA" w:rsidRDefault="004E3D92" w:rsidP="004E3D92">
      <w:pPr>
        <w:jc w:val="both"/>
        <w:rPr>
          <w:bCs/>
          <w:sz w:val="28"/>
          <w:szCs w:val="28"/>
        </w:rPr>
      </w:pPr>
      <w:r w:rsidRPr="008D71AA">
        <w:rPr>
          <w:sz w:val="28"/>
          <w:szCs w:val="28"/>
        </w:rPr>
        <w:t xml:space="preserve">          На наш погляд</w:t>
      </w:r>
      <w:r w:rsidR="00C03B88">
        <w:rPr>
          <w:sz w:val="28"/>
          <w:szCs w:val="28"/>
        </w:rPr>
        <w:t>,</w:t>
      </w:r>
      <w:r w:rsidRPr="008D71AA">
        <w:rPr>
          <w:sz w:val="28"/>
          <w:szCs w:val="28"/>
        </w:rPr>
        <w:t xml:space="preserve"> </w:t>
      </w:r>
      <w:r w:rsidRPr="008D71AA">
        <w:rPr>
          <w:sz w:val="28"/>
          <w:szCs w:val="28"/>
          <w:u w:val="single"/>
        </w:rPr>
        <w:t>відмова у реєстрації</w:t>
      </w:r>
      <w:r w:rsidRPr="008D71AA">
        <w:rPr>
          <w:sz w:val="28"/>
          <w:szCs w:val="28"/>
        </w:rPr>
        <w:t xml:space="preserve"> кандидатів від діючої партії </w:t>
      </w:r>
      <w:r w:rsidRPr="008D71AA">
        <w:rPr>
          <w:sz w:val="28"/>
          <w:szCs w:val="28"/>
          <w:u w:val="single"/>
        </w:rPr>
        <w:t>на підставі рішення Міністерства юстиції України,</w:t>
      </w:r>
      <w:r w:rsidRPr="00C03B88">
        <w:rPr>
          <w:sz w:val="28"/>
          <w:szCs w:val="28"/>
        </w:rPr>
        <w:t xml:space="preserve"> </w:t>
      </w:r>
      <w:r w:rsidRPr="008D71AA">
        <w:rPr>
          <w:sz w:val="28"/>
          <w:szCs w:val="28"/>
        </w:rPr>
        <w:t>що приймається у порядку</w:t>
      </w:r>
      <w:r w:rsidR="00C03B88">
        <w:rPr>
          <w:sz w:val="28"/>
          <w:szCs w:val="28"/>
        </w:rPr>
        <w:t>,</w:t>
      </w:r>
      <w:r w:rsidRPr="008D71AA">
        <w:rPr>
          <w:sz w:val="28"/>
          <w:szCs w:val="28"/>
        </w:rPr>
        <w:t xml:space="preserve"> затвердженому  </w:t>
      </w:r>
      <w:r w:rsidR="00C03B88">
        <w:rPr>
          <w:sz w:val="28"/>
          <w:szCs w:val="28"/>
        </w:rPr>
        <w:t>п</w:t>
      </w:r>
      <w:r w:rsidRPr="008D71AA">
        <w:rPr>
          <w:sz w:val="28"/>
          <w:szCs w:val="28"/>
        </w:rPr>
        <w:t xml:space="preserve">остановою </w:t>
      </w:r>
      <w:r w:rsidR="00C03B88">
        <w:rPr>
          <w:sz w:val="28"/>
          <w:szCs w:val="28"/>
        </w:rPr>
        <w:t xml:space="preserve"> </w:t>
      </w:r>
      <w:r w:rsidRPr="008D71AA">
        <w:rPr>
          <w:sz w:val="28"/>
          <w:szCs w:val="28"/>
        </w:rPr>
        <w:t xml:space="preserve">Кабінету </w:t>
      </w:r>
      <w:r w:rsidR="00C03B88">
        <w:rPr>
          <w:sz w:val="28"/>
          <w:szCs w:val="28"/>
        </w:rPr>
        <w:t xml:space="preserve"> </w:t>
      </w:r>
      <w:r w:rsidRPr="008D71AA">
        <w:rPr>
          <w:sz w:val="28"/>
          <w:szCs w:val="28"/>
        </w:rPr>
        <w:t>Міністрів України</w:t>
      </w:r>
      <w:r w:rsidRPr="008D71AA">
        <w:rPr>
          <w:bCs/>
          <w:sz w:val="28"/>
          <w:szCs w:val="28"/>
        </w:rPr>
        <w:t xml:space="preserve"> від 27 травня 2015 р. № 354</w:t>
      </w:r>
      <w:r w:rsidR="00C03B88">
        <w:rPr>
          <w:bCs/>
          <w:sz w:val="28"/>
          <w:szCs w:val="28"/>
        </w:rPr>
        <w:t>,</w:t>
      </w:r>
      <w:r w:rsidRPr="008D71AA">
        <w:rPr>
          <w:bCs/>
          <w:sz w:val="28"/>
          <w:szCs w:val="28"/>
        </w:rPr>
        <w:t xml:space="preserve"> </w:t>
      </w:r>
      <w:r w:rsidR="008D71AA">
        <w:rPr>
          <w:bCs/>
          <w:sz w:val="28"/>
          <w:szCs w:val="28"/>
        </w:rPr>
        <w:t xml:space="preserve">виглядає недостатньо </w:t>
      </w:r>
      <w:r w:rsidRPr="008D71AA">
        <w:rPr>
          <w:bCs/>
          <w:sz w:val="28"/>
          <w:szCs w:val="28"/>
        </w:rPr>
        <w:t xml:space="preserve">обґрунтованою. Адже відповідне рішення органу виконавчої влади </w:t>
      </w:r>
      <w:r w:rsidR="00C03B88">
        <w:rPr>
          <w:bCs/>
          <w:sz w:val="28"/>
          <w:szCs w:val="28"/>
        </w:rPr>
        <w:t xml:space="preserve">– </w:t>
      </w:r>
      <w:r w:rsidRPr="008D71AA">
        <w:rPr>
          <w:bCs/>
          <w:sz w:val="28"/>
          <w:szCs w:val="28"/>
        </w:rPr>
        <w:t>Міністерства</w:t>
      </w:r>
      <w:r w:rsidR="00C03B88">
        <w:rPr>
          <w:bCs/>
          <w:sz w:val="28"/>
          <w:szCs w:val="28"/>
        </w:rPr>
        <w:t xml:space="preserve"> </w:t>
      </w:r>
      <w:r w:rsidRPr="008D71AA">
        <w:rPr>
          <w:bCs/>
          <w:sz w:val="28"/>
          <w:szCs w:val="28"/>
        </w:rPr>
        <w:t xml:space="preserve">юстиції, є підставою для звернення з позовом до суду </w:t>
      </w:r>
      <w:r w:rsidRPr="008D71AA">
        <w:rPr>
          <w:bCs/>
          <w:sz w:val="28"/>
          <w:szCs w:val="28"/>
        </w:rPr>
        <w:lastRenderedPageBreak/>
        <w:t>про припинення діяльності політичної партії (п.</w:t>
      </w:r>
      <w:r w:rsidR="00C03B88">
        <w:rPr>
          <w:bCs/>
          <w:sz w:val="28"/>
          <w:szCs w:val="28"/>
        </w:rPr>
        <w:t xml:space="preserve"> </w:t>
      </w:r>
      <w:r w:rsidRPr="008D71AA">
        <w:rPr>
          <w:bCs/>
          <w:sz w:val="28"/>
          <w:szCs w:val="28"/>
        </w:rPr>
        <w:t>23 Порядку прийняття рішень щодо невідповідності діяльності, найменування та/або символіки юридичної особи, політичної партії, її обласної, міської, районної організації або іншого структурного утворення, передбаченого статутом політичної партії, іншого об’єднання громадян вимогам </w:t>
      </w:r>
      <w:hyperlink r:id="rId8" w:tgtFrame="_blank" w:history="1">
        <w:r w:rsidRPr="008D71AA">
          <w:rPr>
            <w:rStyle w:val="a7"/>
            <w:bCs/>
            <w:color w:val="auto"/>
            <w:sz w:val="28"/>
            <w:szCs w:val="28"/>
            <w:u w:val="none"/>
          </w:rPr>
          <w:t>Закону України</w:t>
        </w:r>
      </w:hyperlink>
      <w:r w:rsidRPr="008D71AA">
        <w:rPr>
          <w:bCs/>
          <w:sz w:val="28"/>
          <w:szCs w:val="28"/>
        </w:rPr>
        <w:t xml:space="preserve"> «Про засудження комуністичного та націонал-соціалістичного (нацистського) тоталітарних режимів в Україні та заборону пропаганди їхньої символіки», затвердженого </w:t>
      </w:r>
      <w:r w:rsidR="00C03B88">
        <w:rPr>
          <w:bCs/>
          <w:sz w:val="28"/>
          <w:szCs w:val="28"/>
        </w:rPr>
        <w:t>п</w:t>
      </w:r>
      <w:r w:rsidRPr="008D71AA">
        <w:rPr>
          <w:bCs/>
          <w:sz w:val="28"/>
          <w:szCs w:val="28"/>
        </w:rPr>
        <w:t>остановою К</w:t>
      </w:r>
      <w:r w:rsidR="00C03B88">
        <w:rPr>
          <w:bCs/>
          <w:sz w:val="28"/>
          <w:szCs w:val="28"/>
        </w:rPr>
        <w:t xml:space="preserve">абінету </w:t>
      </w:r>
      <w:r w:rsidRPr="008D71AA">
        <w:rPr>
          <w:bCs/>
          <w:sz w:val="28"/>
          <w:szCs w:val="28"/>
        </w:rPr>
        <w:t>М</w:t>
      </w:r>
      <w:r w:rsidR="00C03B88">
        <w:rPr>
          <w:bCs/>
          <w:sz w:val="28"/>
          <w:szCs w:val="28"/>
        </w:rPr>
        <w:t xml:space="preserve">іністрів </w:t>
      </w:r>
      <w:r w:rsidRPr="008D71AA">
        <w:rPr>
          <w:bCs/>
          <w:sz w:val="28"/>
          <w:szCs w:val="28"/>
        </w:rPr>
        <w:t>У</w:t>
      </w:r>
      <w:r w:rsidR="00C03B88">
        <w:rPr>
          <w:bCs/>
          <w:sz w:val="28"/>
          <w:szCs w:val="28"/>
        </w:rPr>
        <w:t>країни</w:t>
      </w:r>
      <w:r w:rsidRPr="008D71AA">
        <w:rPr>
          <w:bCs/>
          <w:sz w:val="28"/>
          <w:szCs w:val="28"/>
        </w:rPr>
        <w:t xml:space="preserve"> №354</w:t>
      </w:r>
      <w:r w:rsidR="00C03B88">
        <w:rPr>
          <w:bCs/>
          <w:sz w:val="28"/>
          <w:szCs w:val="28"/>
        </w:rPr>
        <w:t xml:space="preserve"> від 27.05.2018 р.</w:t>
      </w:r>
      <w:r w:rsidRPr="008D71AA">
        <w:rPr>
          <w:bCs/>
          <w:sz w:val="28"/>
          <w:szCs w:val="28"/>
        </w:rPr>
        <w:t>). Адже статтею 5 Закону України «Про політичні партії»</w:t>
      </w:r>
      <w:r w:rsidRPr="008D71AA">
        <w:rPr>
          <w:sz w:val="28"/>
          <w:szCs w:val="28"/>
        </w:rPr>
        <w:t xml:space="preserve"> </w:t>
      </w:r>
      <w:r w:rsidRPr="008D71AA">
        <w:rPr>
          <w:bCs/>
          <w:sz w:val="28"/>
          <w:szCs w:val="28"/>
        </w:rPr>
        <w:t>встановлено, що «діяльність політичної партії може бути заборонена лише за рішенням суду».</w:t>
      </w:r>
    </w:p>
    <w:p w:rsidR="00082B08" w:rsidRDefault="008D71AA" w:rsidP="00082B08">
      <w:pPr>
        <w:ind w:firstLine="567"/>
        <w:jc w:val="both"/>
        <w:rPr>
          <w:sz w:val="28"/>
          <w:szCs w:val="28"/>
        </w:rPr>
      </w:pPr>
      <w:r>
        <w:rPr>
          <w:sz w:val="28"/>
          <w:szCs w:val="28"/>
        </w:rPr>
        <w:t xml:space="preserve">Варто </w:t>
      </w:r>
      <w:r w:rsidR="00C03B88">
        <w:rPr>
          <w:sz w:val="28"/>
          <w:szCs w:val="28"/>
        </w:rPr>
        <w:t xml:space="preserve">також </w:t>
      </w:r>
      <w:r>
        <w:rPr>
          <w:sz w:val="28"/>
          <w:szCs w:val="28"/>
        </w:rPr>
        <w:t>враховувати п.</w:t>
      </w:r>
      <w:r w:rsidR="004E3D92">
        <w:rPr>
          <w:sz w:val="28"/>
          <w:szCs w:val="28"/>
        </w:rPr>
        <w:t xml:space="preserve"> 230 Керівних принципів щодо заборони та розпуску політичних партій</w:t>
      </w:r>
      <w:r w:rsidR="004E3D92">
        <w:rPr>
          <w:rStyle w:val="ab"/>
          <w:sz w:val="28"/>
          <w:szCs w:val="28"/>
        </w:rPr>
        <w:footnoteReference w:id="3"/>
      </w:r>
      <w:r>
        <w:rPr>
          <w:sz w:val="28"/>
          <w:szCs w:val="28"/>
        </w:rPr>
        <w:t xml:space="preserve">, в якому </w:t>
      </w:r>
      <w:r w:rsidR="004E3D92">
        <w:rPr>
          <w:sz w:val="28"/>
          <w:szCs w:val="28"/>
        </w:rPr>
        <w:t xml:space="preserve">зазначено, що «будь-яке втручання державних органів у діяльність політичних партій дає їм привід оскаржити в судовому порядку правомірність рішень або ж дій таких органів і бути заслуханими у відкритому судовому засіданні неупередженим судом. Ця можливість винятково важлива, коли йдеться про заборону чи розпуск політичної партії, оскільки в такому серйозному питанні остаточне рішення має бути за судовою інстанцією. В усіх випадках, коли розглядається можливість заборони чи розпуску, справу завжди має бути попередньо розглянуто у відповідному суді». </w:t>
      </w:r>
    </w:p>
    <w:p w:rsidR="008D71AA" w:rsidRPr="008D71AA" w:rsidRDefault="008D71AA" w:rsidP="008D71AA">
      <w:pPr>
        <w:ind w:firstLine="709"/>
        <w:jc w:val="both"/>
        <w:rPr>
          <w:bCs/>
          <w:sz w:val="28"/>
          <w:szCs w:val="28"/>
        </w:rPr>
      </w:pPr>
      <w:r w:rsidRPr="008D71AA">
        <w:rPr>
          <w:bCs/>
          <w:sz w:val="28"/>
          <w:szCs w:val="28"/>
        </w:rPr>
        <w:lastRenderedPageBreak/>
        <w:t>Отже вважаємо, що заборона для реєстрації кандидатів на виборах є обґрунтованою лише у разі заборони діяльності політичної партії за рішенням суду.</w:t>
      </w:r>
    </w:p>
    <w:p w:rsidR="00082B08" w:rsidRPr="00082B08" w:rsidRDefault="00C362FA" w:rsidP="00A0723B">
      <w:pPr>
        <w:ind w:firstLine="567"/>
        <w:jc w:val="both"/>
        <w:rPr>
          <w:sz w:val="28"/>
          <w:szCs w:val="28"/>
          <w:lang w:eastAsia="en-US"/>
        </w:rPr>
      </w:pPr>
      <w:r w:rsidRPr="00082B08">
        <w:rPr>
          <w:b/>
          <w:sz w:val="28"/>
          <w:szCs w:val="28"/>
        </w:rPr>
        <w:t xml:space="preserve">12. </w:t>
      </w:r>
      <w:r w:rsidR="00082B08" w:rsidRPr="00082B08">
        <w:rPr>
          <w:sz w:val="28"/>
          <w:szCs w:val="28"/>
        </w:rPr>
        <w:t>Взагалі, с</w:t>
      </w:r>
      <w:r w:rsidR="00082B08" w:rsidRPr="00082B08">
        <w:rPr>
          <w:w w:val="101"/>
          <w:sz w:val="28"/>
          <w:szCs w:val="28"/>
          <w:lang w:eastAsia="ru-RU"/>
        </w:rPr>
        <w:t>истемний</w:t>
      </w:r>
      <w:r w:rsidR="00673DED">
        <w:rPr>
          <w:w w:val="101"/>
          <w:sz w:val="28"/>
          <w:szCs w:val="28"/>
          <w:lang w:eastAsia="ru-RU"/>
        </w:rPr>
        <w:t xml:space="preserve"> аналіз поданого законопроекту </w:t>
      </w:r>
      <w:r w:rsidR="00082B08" w:rsidRPr="00082B08">
        <w:rPr>
          <w:w w:val="101"/>
          <w:sz w:val="28"/>
          <w:szCs w:val="28"/>
          <w:lang w:eastAsia="ru-RU"/>
        </w:rPr>
        <w:t xml:space="preserve">дозволяє дійти висновку, що його прийняття у </w:t>
      </w:r>
      <w:r w:rsidR="00673DED">
        <w:rPr>
          <w:w w:val="101"/>
          <w:sz w:val="28"/>
          <w:szCs w:val="28"/>
          <w:lang w:eastAsia="ru-RU"/>
        </w:rPr>
        <w:t xml:space="preserve">запропонованій </w:t>
      </w:r>
      <w:r w:rsidR="00082B08" w:rsidRPr="00082B08">
        <w:rPr>
          <w:w w:val="101"/>
          <w:sz w:val="28"/>
          <w:szCs w:val="28"/>
          <w:lang w:eastAsia="ru-RU"/>
        </w:rPr>
        <w:t xml:space="preserve">редакції може </w:t>
      </w:r>
      <w:r w:rsidR="00082B08" w:rsidRPr="00082B08">
        <w:rPr>
          <w:sz w:val="28"/>
          <w:szCs w:val="28"/>
        </w:rPr>
        <w:t xml:space="preserve">позначитись на реалізації особами права </w:t>
      </w:r>
      <w:r w:rsidR="00082B08">
        <w:rPr>
          <w:sz w:val="28"/>
          <w:szCs w:val="28"/>
        </w:rPr>
        <w:t>на свободу вираження поглядів (с</w:t>
      </w:r>
      <w:r w:rsidR="00082B08" w:rsidRPr="00082B08">
        <w:rPr>
          <w:sz w:val="28"/>
          <w:szCs w:val="28"/>
        </w:rPr>
        <w:t xml:space="preserve">таття 10 Європейської конвенції про захист прав людини і основоположних свобод, 1950 р. (далі – Конвенція), стаття 19 Загальної декларації прав людини (далі – ЗДПЛ), 1948 р., стаття 19 Міжнародного пакту про громадянські та політичні </w:t>
      </w:r>
      <w:r w:rsidR="00673DED">
        <w:rPr>
          <w:sz w:val="28"/>
          <w:szCs w:val="28"/>
        </w:rPr>
        <w:t>права, 1966 р. (далі – МПГПП)</w:t>
      </w:r>
      <w:r w:rsidR="00220DFA">
        <w:rPr>
          <w:sz w:val="28"/>
          <w:szCs w:val="28"/>
        </w:rPr>
        <w:t>)</w:t>
      </w:r>
      <w:r w:rsidR="00673DED">
        <w:rPr>
          <w:sz w:val="28"/>
          <w:szCs w:val="28"/>
        </w:rPr>
        <w:t xml:space="preserve">, </w:t>
      </w:r>
      <w:r w:rsidR="00082B08" w:rsidRPr="00082B08">
        <w:rPr>
          <w:sz w:val="28"/>
          <w:szCs w:val="28"/>
        </w:rPr>
        <w:t>права на свободу об’єднань (стаття 11 Конвенції, стаття 20 ЗДПЛ, стаття 22 МПГПП) та виборчих прав (стаття 3 Протоколу I до Конвенції та стаття 25 МПГПП). Всі вищезазначені права і свободи охоплено також зобов’язаннями у межах ОБСЄ, які держави-учасниці, в тому числі Україна, зобов’язались виконувати. Особливої уваги у цьому контексті набувають параграфи 9 та 10 Документу Копенгагенської наради НБСЄ</w:t>
      </w:r>
      <w:r w:rsidR="00082B08" w:rsidRPr="00082B08">
        <w:rPr>
          <w:rStyle w:val="ab"/>
          <w:sz w:val="28"/>
          <w:szCs w:val="28"/>
        </w:rPr>
        <w:footnoteReference w:id="4"/>
      </w:r>
      <w:r w:rsidR="00082B08" w:rsidRPr="00082B08">
        <w:rPr>
          <w:sz w:val="28"/>
          <w:szCs w:val="28"/>
        </w:rPr>
        <w:t xml:space="preserve">. </w:t>
      </w:r>
    </w:p>
    <w:p w:rsidR="00082B08" w:rsidRDefault="00082B08" w:rsidP="00082B08">
      <w:pPr>
        <w:ind w:firstLine="567"/>
        <w:jc w:val="both"/>
        <w:rPr>
          <w:sz w:val="28"/>
          <w:szCs w:val="28"/>
        </w:rPr>
      </w:pPr>
      <w:r w:rsidRPr="00082B08">
        <w:rPr>
          <w:sz w:val="28"/>
          <w:szCs w:val="28"/>
        </w:rPr>
        <w:lastRenderedPageBreak/>
        <w:t>Слід зазначити, що європейські інституції, зокрема, Венеціанська комісія та ОБСЄ/БДІПЛ, визнають право України, як і будь-якої іншої демократичної держави, забороняти чи навіть криміналізувати використання певної символіки та пропаганди тоталітарних режимів. Подібне законодавство існує в низці країн регіону ОБСЄ та держав-членів Ради Європи</w:t>
      </w:r>
      <w:r w:rsidRPr="00082B08">
        <w:rPr>
          <w:rFonts w:eastAsia="Calibri"/>
          <w:iCs/>
          <w:sz w:val="28"/>
          <w:szCs w:val="28"/>
        </w:rPr>
        <w:t xml:space="preserve">. </w:t>
      </w:r>
      <w:r w:rsidRPr="00082B08">
        <w:rPr>
          <w:sz w:val="28"/>
          <w:szCs w:val="28"/>
        </w:rPr>
        <w:t>Проте, на думку експертів Ради Європи, зокрема</w:t>
      </w:r>
      <w:r w:rsidR="00E33BB8">
        <w:rPr>
          <w:sz w:val="28"/>
          <w:szCs w:val="28"/>
        </w:rPr>
        <w:t>,</w:t>
      </w:r>
      <w:r w:rsidRPr="00082B08">
        <w:rPr>
          <w:sz w:val="28"/>
          <w:szCs w:val="28"/>
        </w:rPr>
        <w:t xml:space="preserve"> Венеціанської комісії</w:t>
      </w:r>
      <w:r w:rsidR="00220DFA">
        <w:rPr>
          <w:sz w:val="28"/>
          <w:szCs w:val="28"/>
        </w:rPr>
        <w:t xml:space="preserve"> </w:t>
      </w:r>
      <w:r w:rsidR="00220DFA" w:rsidRPr="00082B08">
        <w:rPr>
          <w:sz w:val="28"/>
          <w:szCs w:val="28"/>
        </w:rPr>
        <w:t xml:space="preserve">(п. 9 </w:t>
      </w:r>
      <w:r w:rsidR="00220DFA" w:rsidRPr="00082B08">
        <w:rPr>
          <w:rFonts w:eastAsia="Calibri"/>
          <w:iCs/>
          <w:sz w:val="28"/>
          <w:szCs w:val="28"/>
        </w:rPr>
        <w:t>Спільного проміжного висновку Венеціанської комісії та ОБСЄ/БДІПЛ щодо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(далі – Спільний проміжний висновок)</w:t>
      </w:r>
      <w:r w:rsidR="00220DFA">
        <w:rPr>
          <w:rFonts w:eastAsia="Calibri"/>
          <w:iCs/>
          <w:sz w:val="28"/>
          <w:szCs w:val="28"/>
        </w:rPr>
        <w:t>)</w:t>
      </w:r>
      <w:r w:rsidR="00220DFA" w:rsidRPr="00082B08">
        <w:rPr>
          <w:rFonts w:eastAsia="Calibri"/>
          <w:iCs/>
          <w:sz w:val="28"/>
          <w:szCs w:val="28"/>
          <w:vertAlign w:val="superscript"/>
        </w:rPr>
        <w:footnoteReference w:id="5"/>
      </w:r>
      <w:r w:rsidRPr="00082B08">
        <w:rPr>
          <w:sz w:val="28"/>
          <w:szCs w:val="28"/>
        </w:rPr>
        <w:t>,</w:t>
      </w:r>
      <w:r w:rsidR="00220DFA">
        <w:rPr>
          <w:sz w:val="28"/>
          <w:szCs w:val="28"/>
        </w:rPr>
        <w:t xml:space="preserve"> </w:t>
      </w:r>
      <w:r w:rsidRPr="00082B08">
        <w:rPr>
          <w:sz w:val="28"/>
          <w:szCs w:val="28"/>
        </w:rPr>
        <w:t>таке законодавство має відповідати встановленим міжнародним та європейським стандартам щодо забезпечення свободи вираження поглядів, зокрема</w:t>
      </w:r>
      <w:r w:rsidR="00E33BB8">
        <w:rPr>
          <w:sz w:val="28"/>
          <w:szCs w:val="28"/>
        </w:rPr>
        <w:t>,</w:t>
      </w:r>
      <w:r w:rsidRPr="00082B08">
        <w:rPr>
          <w:sz w:val="28"/>
          <w:szCs w:val="28"/>
        </w:rPr>
        <w:t xml:space="preserve"> передбаченої статтею 10 Конвенції. </w:t>
      </w:r>
    </w:p>
    <w:p w:rsidR="00082B08" w:rsidRDefault="00082B08" w:rsidP="00082B08">
      <w:pPr>
        <w:ind w:firstLine="567"/>
        <w:jc w:val="both"/>
        <w:rPr>
          <w:sz w:val="28"/>
          <w:szCs w:val="28"/>
        </w:rPr>
      </w:pPr>
      <w:r w:rsidRPr="00082B08">
        <w:rPr>
          <w:sz w:val="28"/>
          <w:szCs w:val="28"/>
        </w:rPr>
        <w:t>Так, стаття 10 Конвенції захищає не лише сутність виражених ідей та інформації, а й форму, в якій вони передаються</w:t>
      </w:r>
      <w:r w:rsidRPr="00082B08">
        <w:rPr>
          <w:rStyle w:val="ab"/>
          <w:sz w:val="28"/>
          <w:szCs w:val="28"/>
        </w:rPr>
        <w:footnoteReference w:id="6"/>
      </w:r>
      <w:r w:rsidRPr="00082B08">
        <w:rPr>
          <w:sz w:val="28"/>
          <w:szCs w:val="28"/>
        </w:rPr>
        <w:t xml:space="preserve">. Таким чином, сфера дії статті 10 Конвенції охоплює невербальне донесення </w:t>
      </w:r>
      <w:r w:rsidRPr="00082B08">
        <w:rPr>
          <w:sz w:val="28"/>
          <w:szCs w:val="28"/>
        </w:rPr>
        <w:lastRenderedPageBreak/>
        <w:t>ідей і вражень, у тому числі шляхом носіння чи демонстрування символіки</w:t>
      </w:r>
      <w:r w:rsidRPr="00082B08">
        <w:rPr>
          <w:rStyle w:val="ab"/>
          <w:sz w:val="28"/>
          <w:szCs w:val="28"/>
        </w:rPr>
        <w:footnoteReference w:id="7"/>
      </w:r>
      <w:r w:rsidRPr="00082B08">
        <w:rPr>
          <w:sz w:val="28"/>
          <w:szCs w:val="28"/>
        </w:rPr>
        <w:t xml:space="preserve"> або вчинення символічних дій</w:t>
      </w:r>
      <w:r w:rsidRPr="00082B08">
        <w:rPr>
          <w:rStyle w:val="ab"/>
          <w:sz w:val="28"/>
          <w:szCs w:val="28"/>
        </w:rPr>
        <w:footnoteReference w:id="8"/>
      </w:r>
      <w:r w:rsidRPr="00082B08">
        <w:rPr>
          <w:sz w:val="28"/>
          <w:szCs w:val="28"/>
        </w:rPr>
        <w:t xml:space="preserve">. Наприклад, Європейський суд з прав людини (далі – ЄСПЛ) визнав, що демонстрація атрибуту, асоційованого з політичним рухом або організацією – наприклад, прапора – може розглядатись як вираження прихильності особи до певних ідей чи їх викладення і, відтак, підпадає під визначення «вираження», право, яке захищене статтею 10 Конвенції. В одній із нещодавно розглянутих справ Суд знову підтвердив, що дія статті 10 Конвенції поширюється </w:t>
      </w:r>
      <w:r w:rsidRPr="00082B08">
        <w:rPr>
          <w:i/>
          <w:iCs/>
          <w:sz w:val="28"/>
          <w:szCs w:val="28"/>
        </w:rPr>
        <w:t>«не лише на більш загальні форми вираження, як от усні висловлювання чи письмові тексти, а й на інші, менш очевидні засоби, за допомогою яких люди іноді можуть доносити погляди, послання, думки та критику»</w:t>
      </w:r>
      <w:r w:rsidRPr="00082B08">
        <w:rPr>
          <w:rStyle w:val="ab"/>
          <w:i/>
          <w:iCs/>
          <w:sz w:val="28"/>
          <w:szCs w:val="28"/>
        </w:rPr>
        <w:footnoteReference w:id="9"/>
      </w:r>
      <w:r w:rsidRPr="00082B08">
        <w:rPr>
          <w:sz w:val="28"/>
          <w:szCs w:val="28"/>
        </w:rPr>
        <w:t>. Особливий захист надано політичному мовленню як передумові та необхідній складовій демократії. Зазвичай, свобода вираження політичних поглядів отримує вищий рівень захисту з огляду на її важливість у демократичному суспільстві</w:t>
      </w:r>
      <w:r w:rsidRPr="00082B08">
        <w:rPr>
          <w:rStyle w:val="ab"/>
          <w:sz w:val="28"/>
          <w:szCs w:val="28"/>
        </w:rPr>
        <w:footnoteReference w:id="10"/>
      </w:r>
      <w:r w:rsidRPr="00082B08">
        <w:rPr>
          <w:sz w:val="28"/>
          <w:szCs w:val="28"/>
        </w:rPr>
        <w:t xml:space="preserve">. Більше того, на думку, ЄСПЛ, комунікація підлягає захисту незалежно від її змісту. У своєму відомому </w:t>
      </w:r>
      <w:r w:rsidRPr="00082B08">
        <w:rPr>
          <w:sz w:val="28"/>
          <w:szCs w:val="28"/>
        </w:rPr>
        <w:lastRenderedPageBreak/>
        <w:t xml:space="preserve">рішенні у справі </w:t>
      </w:r>
      <w:r w:rsidRPr="00082B08">
        <w:rPr>
          <w:i/>
          <w:iCs/>
          <w:sz w:val="28"/>
          <w:szCs w:val="28"/>
        </w:rPr>
        <w:t xml:space="preserve">Handyside </w:t>
      </w:r>
      <w:r w:rsidRPr="00082B08">
        <w:rPr>
          <w:sz w:val="28"/>
          <w:szCs w:val="28"/>
        </w:rPr>
        <w:t xml:space="preserve">Суд зазначив, що свобода вираження поглядів </w:t>
      </w:r>
      <w:r w:rsidRPr="00082B08">
        <w:rPr>
          <w:i/>
          <w:iCs/>
          <w:sz w:val="28"/>
          <w:szCs w:val="28"/>
        </w:rPr>
        <w:t>«стосується не лише тієї «інформації» або тих «ідей», котрі прихильно сприймаються чи вважаються необразливими чи нейтральними, але також і тих, що ображають, шокують або збурюють Державу чи певні верстви населення»</w:t>
      </w:r>
      <w:r w:rsidRPr="00082B08">
        <w:rPr>
          <w:rStyle w:val="ab"/>
          <w:i/>
          <w:iCs/>
          <w:sz w:val="28"/>
          <w:szCs w:val="28"/>
        </w:rPr>
        <w:footnoteReference w:id="11"/>
      </w:r>
      <w:r w:rsidRPr="00082B08">
        <w:rPr>
          <w:sz w:val="28"/>
          <w:szCs w:val="28"/>
        </w:rPr>
        <w:t>.</w:t>
      </w:r>
    </w:p>
    <w:p w:rsidR="00082B08" w:rsidRDefault="00082B08" w:rsidP="00082B08">
      <w:pPr>
        <w:ind w:firstLine="567"/>
        <w:jc w:val="both"/>
        <w:rPr>
          <w:sz w:val="28"/>
          <w:szCs w:val="28"/>
        </w:rPr>
      </w:pPr>
      <w:r w:rsidRPr="00082B08">
        <w:rPr>
          <w:sz w:val="28"/>
          <w:szCs w:val="28"/>
        </w:rPr>
        <w:t xml:space="preserve">Свободу вираження поглядів вважають </w:t>
      </w:r>
      <w:r w:rsidRPr="00082B08">
        <w:rPr>
          <w:i/>
          <w:iCs/>
          <w:sz w:val="28"/>
          <w:szCs w:val="28"/>
        </w:rPr>
        <w:t>«однією з фундаментальних засад демократичного суспільства й однією з основних умов його розвитку та самореалізації кожної особистості»</w:t>
      </w:r>
      <w:r w:rsidRPr="00082B08">
        <w:rPr>
          <w:rStyle w:val="ab"/>
          <w:i/>
          <w:iCs/>
          <w:sz w:val="28"/>
          <w:szCs w:val="28"/>
        </w:rPr>
        <w:footnoteReference w:id="12"/>
      </w:r>
      <w:r w:rsidRPr="00082B08">
        <w:rPr>
          <w:i/>
          <w:iCs/>
          <w:sz w:val="28"/>
          <w:szCs w:val="28"/>
        </w:rPr>
        <w:t>.</w:t>
      </w:r>
      <w:r w:rsidRPr="00082B08">
        <w:rPr>
          <w:sz w:val="28"/>
          <w:szCs w:val="28"/>
        </w:rPr>
        <w:t xml:space="preserve"> Тому будь-яке втручання у здійснення свободи вираження поглядів має бути </w:t>
      </w:r>
      <w:r w:rsidRPr="00082B08">
        <w:rPr>
          <w:i/>
          <w:iCs/>
          <w:sz w:val="28"/>
          <w:szCs w:val="28"/>
        </w:rPr>
        <w:t>«пропорційне законній меті, що при цьому переслідується».</w:t>
      </w:r>
      <w:r w:rsidRPr="00082B08">
        <w:rPr>
          <w:sz w:val="28"/>
          <w:szCs w:val="28"/>
        </w:rPr>
        <w:t xml:space="preserve"> Держава має досягти належного балансу між необхідними обмеженнями прав особи та потребою у захисті інших важливих суспільних цінностей. Оцінюючи пропорційність, слід взяти до уваги такі чинники: важливість прав і цінностей, що можуть бути обмежені (Чи втручання спрямоване на якийсь важливий об’єкт?), масштаб і ступінь втручання (Скількох осіб воно може зачепити? Наскільки радикально обмежується право? Які санкції передбачено?). ЄСПЛ підтвердив у своїй усталеній практиці, що хоча можуть існувати винятки щодо свободи вираження поглядів, вони </w:t>
      </w:r>
      <w:r w:rsidRPr="00082B08">
        <w:rPr>
          <w:i/>
          <w:iCs/>
          <w:sz w:val="28"/>
          <w:szCs w:val="28"/>
        </w:rPr>
        <w:lastRenderedPageBreak/>
        <w:t>«повинні мати вузьке тлумачення»</w:t>
      </w:r>
      <w:r w:rsidRPr="00082B08">
        <w:rPr>
          <w:sz w:val="28"/>
          <w:szCs w:val="28"/>
        </w:rPr>
        <w:t xml:space="preserve">, а </w:t>
      </w:r>
      <w:r w:rsidRPr="00082B08">
        <w:rPr>
          <w:i/>
          <w:iCs/>
          <w:sz w:val="28"/>
          <w:szCs w:val="28"/>
        </w:rPr>
        <w:t xml:space="preserve">«потреба у застосуванні таких обмежень повинна бути переконливо доведена» </w:t>
      </w:r>
      <w:r w:rsidR="00673DED">
        <w:rPr>
          <w:sz w:val="28"/>
          <w:szCs w:val="28"/>
        </w:rPr>
        <w:t xml:space="preserve">(пп. 54-55 Спільного </w:t>
      </w:r>
      <w:r w:rsidRPr="00082B08">
        <w:rPr>
          <w:sz w:val="28"/>
          <w:szCs w:val="28"/>
        </w:rPr>
        <w:t xml:space="preserve">проміжного висновку). </w:t>
      </w:r>
    </w:p>
    <w:p w:rsidR="00082B08" w:rsidRDefault="00082B08" w:rsidP="00673DED">
      <w:pPr>
        <w:ind w:firstLine="708"/>
        <w:jc w:val="both"/>
        <w:rPr>
          <w:sz w:val="28"/>
          <w:szCs w:val="28"/>
        </w:rPr>
      </w:pPr>
      <w:r>
        <w:rPr>
          <w:sz w:val="28"/>
          <w:szCs w:val="28"/>
        </w:rPr>
        <w:t>Видається, що під час доопрацювання поданого законопроекту доцільно враховувати міжнародні та європейські стандарти щодо права на свободу вираження думки, визначені у міжнародних договорах, згоду на обов’язковість яких надано Україною, а також прецедент</w:t>
      </w:r>
      <w:r w:rsidR="00E33BB8">
        <w:rPr>
          <w:sz w:val="28"/>
          <w:szCs w:val="28"/>
        </w:rPr>
        <w:t>н</w:t>
      </w:r>
      <w:r>
        <w:rPr>
          <w:sz w:val="28"/>
          <w:szCs w:val="28"/>
        </w:rPr>
        <w:t xml:space="preserve">у практику ЄСПЛ в цій сфері.  </w:t>
      </w:r>
    </w:p>
    <w:p w:rsidR="00B36C36" w:rsidRDefault="00673DED" w:rsidP="00B36C36">
      <w:pPr>
        <w:ind w:firstLine="709"/>
        <w:jc w:val="both"/>
        <w:rPr>
          <w:sz w:val="28"/>
          <w:szCs w:val="28"/>
          <w:lang w:eastAsia="en-US"/>
        </w:rPr>
      </w:pPr>
      <w:r w:rsidRPr="00673DED">
        <w:rPr>
          <w:b/>
          <w:sz w:val="28"/>
          <w:szCs w:val="28"/>
        </w:rPr>
        <w:t>13.</w:t>
      </w:r>
      <w:r>
        <w:rPr>
          <w:sz w:val="28"/>
          <w:szCs w:val="28"/>
        </w:rPr>
        <w:t xml:space="preserve"> </w:t>
      </w:r>
      <w:r w:rsidR="00B36C36">
        <w:rPr>
          <w:sz w:val="28"/>
          <w:szCs w:val="28"/>
        </w:rPr>
        <w:t xml:space="preserve">До законопроекту можуть бути висловлені й інші зауваження, подальше викладення яких Головне управління не вважає доцільним з огляду на обсяг і зміст вже висловлених зауважень. </w:t>
      </w:r>
    </w:p>
    <w:p w:rsidR="00B36C36" w:rsidRDefault="00B36C36" w:rsidP="00B36C36">
      <w:pPr>
        <w:ind w:firstLine="709"/>
        <w:jc w:val="both"/>
        <w:rPr>
          <w:b/>
          <w:sz w:val="28"/>
          <w:szCs w:val="28"/>
        </w:rPr>
      </w:pPr>
    </w:p>
    <w:p w:rsidR="00B36C36" w:rsidRDefault="00B36C36" w:rsidP="00B36C36">
      <w:pPr>
        <w:ind w:firstLine="709"/>
        <w:jc w:val="both"/>
        <w:rPr>
          <w:b/>
          <w:sz w:val="28"/>
          <w:szCs w:val="28"/>
        </w:rPr>
      </w:pPr>
      <w:r>
        <w:rPr>
          <w:b/>
          <w:sz w:val="28"/>
          <w:szCs w:val="28"/>
        </w:rPr>
        <w:t xml:space="preserve">Узагальнюючий висновок: за результатами розгляду у першому читанні </w:t>
      </w:r>
      <w:r w:rsidR="00220DFA">
        <w:rPr>
          <w:b/>
          <w:sz w:val="28"/>
          <w:szCs w:val="28"/>
        </w:rPr>
        <w:t xml:space="preserve">законопроект </w:t>
      </w:r>
      <w:r>
        <w:rPr>
          <w:b/>
          <w:sz w:val="28"/>
          <w:szCs w:val="28"/>
        </w:rPr>
        <w:t>доцільно повернути суб’єкт</w:t>
      </w:r>
      <w:r w:rsidR="00220DFA">
        <w:rPr>
          <w:b/>
          <w:sz w:val="28"/>
          <w:szCs w:val="28"/>
        </w:rPr>
        <w:t>ам</w:t>
      </w:r>
      <w:r>
        <w:rPr>
          <w:b/>
          <w:sz w:val="28"/>
          <w:szCs w:val="28"/>
        </w:rPr>
        <w:t xml:space="preserve"> права законодавчої ініціативи на доопрацювання.</w:t>
      </w:r>
    </w:p>
    <w:p w:rsidR="00B36C36" w:rsidRDefault="00B36C36" w:rsidP="00B36C36">
      <w:pPr>
        <w:ind w:firstLine="709"/>
        <w:jc w:val="both"/>
        <w:rPr>
          <w:b/>
          <w:sz w:val="28"/>
          <w:szCs w:val="28"/>
        </w:rPr>
      </w:pPr>
    </w:p>
    <w:p w:rsidR="00B36C36" w:rsidRDefault="00220DFA" w:rsidP="00B36C36">
      <w:pPr>
        <w:ind w:firstLine="720"/>
        <w:jc w:val="both"/>
        <w:rPr>
          <w:rFonts w:eastAsiaTheme="minorHAnsi" w:cstheme="minorBidi"/>
          <w:b/>
          <w:sz w:val="28"/>
          <w:szCs w:val="28"/>
        </w:rPr>
      </w:pPr>
      <w:r>
        <w:rPr>
          <w:b/>
          <w:sz w:val="28"/>
          <w:szCs w:val="28"/>
        </w:rPr>
        <w:t>Перший з</w:t>
      </w:r>
      <w:r w:rsidR="00B36C36">
        <w:rPr>
          <w:b/>
          <w:sz w:val="28"/>
          <w:szCs w:val="28"/>
        </w:rPr>
        <w:t>аступник керівника</w:t>
      </w:r>
    </w:p>
    <w:p w:rsidR="00B36C36" w:rsidRDefault="00B36C36" w:rsidP="00B36C36">
      <w:pPr>
        <w:ind w:firstLine="720"/>
        <w:jc w:val="both"/>
        <w:rPr>
          <w:rStyle w:val="rvts0"/>
          <w:rFonts w:asciiTheme="minorHAnsi" w:hAnsiTheme="minorHAnsi"/>
          <w:sz w:val="22"/>
          <w:szCs w:val="22"/>
        </w:rPr>
      </w:pPr>
      <w:r>
        <w:rPr>
          <w:b/>
          <w:sz w:val="28"/>
          <w:szCs w:val="28"/>
        </w:rPr>
        <w:t xml:space="preserve">Головного управління                                                       </w:t>
      </w:r>
      <w:r w:rsidR="00220DFA">
        <w:rPr>
          <w:b/>
          <w:sz w:val="28"/>
          <w:szCs w:val="28"/>
        </w:rPr>
        <w:t>С.О. Гудзинський</w:t>
      </w:r>
    </w:p>
    <w:p w:rsidR="00B36C36" w:rsidRDefault="00B36C36" w:rsidP="00B36C36">
      <w:pPr>
        <w:ind w:firstLine="709"/>
        <w:jc w:val="both"/>
        <w:rPr>
          <w:b/>
          <w:sz w:val="28"/>
          <w:szCs w:val="28"/>
        </w:rPr>
      </w:pPr>
    </w:p>
    <w:p w:rsidR="00B36C36" w:rsidRDefault="00B36C36" w:rsidP="00B36C36">
      <w:pPr>
        <w:ind w:firstLine="709"/>
        <w:jc w:val="both"/>
      </w:pPr>
      <w:r>
        <w:t xml:space="preserve">Вик. Мірошниченко О.П., Мельник О.В., </w:t>
      </w:r>
    </w:p>
    <w:p w:rsidR="00B36C36" w:rsidRDefault="00220DFA" w:rsidP="00B36C36">
      <w:pPr>
        <w:ind w:firstLine="709"/>
        <w:jc w:val="both"/>
        <w:rPr>
          <w:rFonts w:eastAsiaTheme="minorHAnsi"/>
        </w:rPr>
      </w:pPr>
      <w:r>
        <w:t xml:space="preserve">         </w:t>
      </w:r>
      <w:r w:rsidR="00B36C36">
        <w:t xml:space="preserve">Корнієнко Є.В. </w:t>
      </w:r>
    </w:p>
    <w:sectPr w:rsidR="00B36C36" w:rsidSect="00FB3FB9">
      <w:headerReference w:type="default" r:id="rId9"/>
      <w:footerReference w:type="default" r:id="rId10"/>
      <w:headerReference w:type="first" r:id="rId11"/>
      <w:pgSz w:w="11906" w:h="16838"/>
      <w:pgMar w:top="850" w:right="850" w:bottom="1418"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061" w:rsidRDefault="00C21061" w:rsidP="00BE3A08">
      <w:r>
        <w:separator/>
      </w:r>
    </w:p>
  </w:endnote>
  <w:endnote w:type="continuationSeparator" w:id="0">
    <w:p w:rsidR="00C21061" w:rsidRDefault="00C21061" w:rsidP="00BE3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37158"/>
      <w:docPartObj>
        <w:docPartGallery w:val="Page Numbers (Bottom of Page)"/>
        <w:docPartUnique/>
      </w:docPartObj>
    </w:sdtPr>
    <w:sdtEndPr/>
    <w:sdtContent>
      <w:p w:rsidR="00976CD0" w:rsidRDefault="00976CD0">
        <w:pPr>
          <w:pStyle w:val="a5"/>
          <w:jc w:val="right"/>
        </w:pPr>
        <w:r>
          <w:fldChar w:fldCharType="begin"/>
        </w:r>
        <w:r>
          <w:instrText>PAGE   \* MERGEFORMAT</w:instrText>
        </w:r>
        <w:r>
          <w:fldChar w:fldCharType="separate"/>
        </w:r>
        <w:r w:rsidR="00E33BB8">
          <w:rPr>
            <w:noProof/>
          </w:rPr>
          <w:t>9</w:t>
        </w:r>
        <w:r>
          <w:fldChar w:fldCharType="end"/>
        </w:r>
      </w:p>
    </w:sdtContent>
  </w:sdt>
  <w:p w:rsidR="00976CD0" w:rsidRDefault="00976CD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061" w:rsidRDefault="00C21061" w:rsidP="00BE3A08">
      <w:r>
        <w:separator/>
      </w:r>
    </w:p>
  </w:footnote>
  <w:footnote w:type="continuationSeparator" w:id="0">
    <w:p w:rsidR="00C21061" w:rsidRDefault="00C21061" w:rsidP="00BE3A08">
      <w:r>
        <w:continuationSeparator/>
      </w:r>
    </w:p>
  </w:footnote>
  <w:footnote w:id="1">
    <w:p w:rsidR="00976CD0" w:rsidRDefault="00976CD0" w:rsidP="00082B08">
      <w:pPr>
        <w:pStyle w:val="a9"/>
        <w:jc w:val="both"/>
      </w:pPr>
      <w:r>
        <w:rPr>
          <w:rStyle w:val="ab"/>
        </w:rPr>
        <w:footnoteRef/>
      </w:r>
      <w:r>
        <w:t xml:space="preserve"> Спільний проміжний висновок щодо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ухвалений Венеціанською комісією на 105-му пленарному засіданні. Венеція (18-19 грудня 2015 року)</w:t>
      </w:r>
      <w:r>
        <w:rPr>
          <w:lang w:val="ru-RU"/>
        </w:rPr>
        <w:t xml:space="preserve"> [</w:t>
      </w:r>
      <w:r>
        <w:t>Електронний ресурс</w:t>
      </w:r>
      <w:r>
        <w:rPr>
          <w:lang w:val="ru-RU"/>
        </w:rPr>
        <w:t>]</w:t>
      </w:r>
      <w:r>
        <w:t xml:space="preserve"> . – Режим доступу. - http://www.osce.org/uk/odihr/216291?download=true</w:t>
      </w:r>
    </w:p>
  </w:footnote>
  <w:footnote w:id="2">
    <w:p w:rsidR="00976CD0" w:rsidRPr="000D2FA4" w:rsidRDefault="00976CD0" w:rsidP="00082B08">
      <w:pPr>
        <w:pStyle w:val="a9"/>
        <w:jc w:val="both"/>
      </w:pPr>
      <w:r w:rsidRPr="002D3C50">
        <w:rPr>
          <w:rStyle w:val="ab"/>
        </w:rPr>
        <w:footnoteRef/>
      </w:r>
      <w:r w:rsidRPr="002D3C50">
        <w:t xml:space="preserve"> </w:t>
      </w:r>
      <w:r w:rsidR="00CF53FB">
        <w:t>Спільний проміжний висновок щодо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ухвалений Венеціанською комісією на 105-му пленарному засіданні. Венеція (18-19 грудня 2015 року)</w:t>
      </w:r>
      <w:r w:rsidR="00CF53FB">
        <w:rPr>
          <w:lang w:val="ru-RU"/>
        </w:rPr>
        <w:t xml:space="preserve"> [</w:t>
      </w:r>
      <w:r w:rsidR="00CF53FB">
        <w:t>Електронний ресурс</w:t>
      </w:r>
      <w:r w:rsidR="00CF53FB">
        <w:rPr>
          <w:lang w:val="ru-RU"/>
        </w:rPr>
        <w:t>]</w:t>
      </w:r>
      <w:r w:rsidR="00CF53FB">
        <w:t xml:space="preserve"> . – Режим доступу. - http://www.osce.org/uk/odihr/216291?download=true</w:t>
      </w:r>
    </w:p>
  </w:footnote>
  <w:footnote w:id="3">
    <w:p w:rsidR="004E3D92" w:rsidRPr="00082B08" w:rsidRDefault="004E3D92" w:rsidP="00082B08">
      <w:pPr>
        <w:pStyle w:val="a9"/>
        <w:jc w:val="both"/>
        <w:rPr>
          <w:sz w:val="22"/>
          <w:szCs w:val="22"/>
        </w:rPr>
      </w:pPr>
      <w:r w:rsidRPr="00082B08">
        <w:rPr>
          <w:rStyle w:val="ab"/>
          <w:sz w:val="22"/>
          <w:szCs w:val="22"/>
        </w:rPr>
        <w:footnoteRef/>
      </w:r>
      <w:r w:rsidRPr="00082B08">
        <w:rPr>
          <w:sz w:val="22"/>
          <w:szCs w:val="22"/>
        </w:rPr>
        <w:t xml:space="preserve"> </w:t>
      </w:r>
      <w:r w:rsidRPr="00082B08">
        <w:rPr>
          <w:rFonts w:eastAsiaTheme="minorHAnsi"/>
          <w:sz w:val="22"/>
          <w:szCs w:val="22"/>
          <w:lang w:eastAsia="en-US"/>
        </w:rPr>
        <w:t xml:space="preserve">CDL-INF(2000)001, Керівні принципи щодо заборони та розпуску політичних партій. Звіт, ухвалений Венеціанською комісією на її 35 пленарному засіданні // Режим доступу: </w:t>
      </w:r>
      <w:hyperlink r:id="rId1" w:history="1">
        <w:r w:rsidRPr="00082B08">
          <w:rPr>
            <w:rStyle w:val="a7"/>
            <w:rFonts w:eastAsiaTheme="minorHAnsi"/>
            <w:color w:val="auto"/>
            <w:sz w:val="22"/>
            <w:szCs w:val="22"/>
            <w:u w:val="none"/>
            <w:lang w:eastAsia="en-US"/>
          </w:rPr>
          <w:t>http://www.venice.coe.int/webforms/documents/?pdf=CDL-INF(2000)001-e</w:t>
        </w:r>
      </w:hyperlink>
    </w:p>
  </w:footnote>
  <w:footnote w:id="4">
    <w:p w:rsidR="00082B08" w:rsidRDefault="00082B08" w:rsidP="00082B08">
      <w:pPr>
        <w:ind w:firstLine="284"/>
        <w:jc w:val="both"/>
        <w:rPr>
          <w:sz w:val="20"/>
          <w:szCs w:val="20"/>
        </w:rPr>
      </w:pPr>
      <w:r>
        <w:rPr>
          <w:rStyle w:val="ab"/>
          <w:sz w:val="20"/>
          <w:szCs w:val="20"/>
        </w:rPr>
        <w:footnoteRef/>
      </w:r>
      <w:r>
        <w:rPr>
          <w:sz w:val="20"/>
          <w:szCs w:val="20"/>
        </w:rPr>
        <w:t xml:space="preserve"> Документ Копенгагенської наради Конференції щодо людського виміру НБСЄ 1990 року. У відповідних частинах параграфів 9 та 10 зазначено: «</w:t>
      </w:r>
      <w:r>
        <w:rPr>
          <w:iCs/>
          <w:sz w:val="20"/>
          <w:szCs w:val="20"/>
        </w:rPr>
        <w:t>кожна людина має право на свободу вираження поглядів, у тому числі право на спілкування. Це право включає свободу дотримуватися своєї думки, отримувати та поширювати інформацію та ідеї без втручання з боку органів державної влади та незалежно від державних кордонів. Здійснення цього права може бути предметом лише таких обмежень, які встановлені законом і відповідають міжнародним стандартам.</w:t>
      </w:r>
      <w:r>
        <w:rPr>
          <w:sz w:val="20"/>
          <w:szCs w:val="20"/>
        </w:rPr>
        <w:t xml:space="preserve">» (9.1); </w:t>
      </w:r>
      <w:r>
        <w:rPr>
          <w:iCs/>
          <w:sz w:val="20"/>
          <w:szCs w:val="20"/>
        </w:rPr>
        <w:t xml:space="preserve">«право на об’єднання є гарантованим» </w:t>
      </w:r>
      <w:r>
        <w:rPr>
          <w:sz w:val="20"/>
          <w:szCs w:val="20"/>
        </w:rPr>
        <w:t>(9.3) «</w:t>
      </w:r>
      <w:r>
        <w:rPr>
          <w:iCs/>
          <w:sz w:val="20"/>
          <w:szCs w:val="20"/>
        </w:rPr>
        <w:t xml:space="preserve">Підтверджуючи своє зобов’язання ефективно забезпечувати право окремої особи знати права людини й основні свободи та діяти відповідно до них та самостійно чи спільно з іншими робити активний внесок у їх розвиток і захист, держави-учасниці заявляють про своє зобов’язання поважати право кожного, самостійно чи разом з іншими, запитувати, одержувати та передавати вільно погляди та інформацію про права людини й основні свободи, включаючи право поширювати та публікувати такі погляди й інформацію” </w:t>
      </w:r>
      <w:r>
        <w:rPr>
          <w:sz w:val="20"/>
          <w:szCs w:val="20"/>
        </w:rPr>
        <w:t>(10.1). Електронний ресурс. http://www.osce.org/de/odihr/elections/14304</w:t>
      </w:r>
    </w:p>
  </w:footnote>
  <w:footnote w:id="5">
    <w:p w:rsidR="00220DFA" w:rsidRDefault="00220DFA" w:rsidP="00220DFA">
      <w:pPr>
        <w:pStyle w:val="a9"/>
        <w:ind w:firstLine="284"/>
        <w:jc w:val="both"/>
        <w:rPr>
          <w:rFonts w:eastAsia="Calibri"/>
          <w:lang w:eastAsia="en-US"/>
        </w:rPr>
      </w:pPr>
      <w:r>
        <w:rPr>
          <w:rStyle w:val="ab"/>
        </w:rPr>
        <w:footnoteRef/>
      </w:r>
      <w:r>
        <w:t xml:space="preserve"> Спільний проміжний висновок щодо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ухвалений Венеціанською комісією на 105-му пленарному засіданні. Венеція (18-19 грудня 2015 року)</w:t>
      </w:r>
      <w:r>
        <w:rPr>
          <w:lang w:val="ru-RU"/>
        </w:rPr>
        <w:t xml:space="preserve"> [</w:t>
      </w:r>
      <w:r>
        <w:t>Електронний ресурс</w:t>
      </w:r>
      <w:r>
        <w:rPr>
          <w:lang w:val="ru-RU"/>
        </w:rPr>
        <w:t>]</w:t>
      </w:r>
      <w:r>
        <w:t xml:space="preserve"> . – Режим доступу. - http://www.osce.org/uk/odihr/216291?download=true</w:t>
      </w:r>
    </w:p>
  </w:footnote>
  <w:footnote w:id="6">
    <w:p w:rsidR="00082B08" w:rsidRDefault="00082B08" w:rsidP="00082B08">
      <w:pPr>
        <w:pStyle w:val="a9"/>
        <w:ind w:firstLine="284"/>
        <w:jc w:val="both"/>
        <w:rPr>
          <w:lang w:eastAsia="ru-RU"/>
        </w:rPr>
      </w:pPr>
      <w:r>
        <w:rPr>
          <w:rStyle w:val="ab"/>
        </w:rPr>
        <w:footnoteRef/>
      </w:r>
      <w:r>
        <w:t xml:space="preserve"> Європейський суд з прав людини, </w:t>
      </w:r>
      <w:r>
        <w:rPr>
          <w:iCs/>
        </w:rPr>
        <w:t>Oberschlick v. Austria (no. 1)</w:t>
      </w:r>
      <w:r>
        <w:t xml:space="preserve">, 23 травня 1991 року, Серія A, № 204, п. 57.  </w:t>
      </w:r>
    </w:p>
  </w:footnote>
  <w:footnote w:id="7">
    <w:p w:rsidR="00082B08" w:rsidRDefault="00082B08" w:rsidP="00082B08">
      <w:pPr>
        <w:ind w:firstLine="284"/>
        <w:jc w:val="both"/>
      </w:pPr>
      <w:r>
        <w:rPr>
          <w:rStyle w:val="ab"/>
          <w:sz w:val="20"/>
          <w:szCs w:val="20"/>
        </w:rPr>
        <w:footnoteRef/>
      </w:r>
      <w:r>
        <w:rPr>
          <w:sz w:val="20"/>
          <w:szCs w:val="20"/>
        </w:rPr>
        <w:t xml:space="preserve"> Європейський суд з прав людини, </w:t>
      </w:r>
      <w:r>
        <w:rPr>
          <w:iCs/>
          <w:sz w:val="20"/>
          <w:szCs w:val="20"/>
        </w:rPr>
        <w:t>Vajnai v. Hungary</w:t>
      </w:r>
      <w:r>
        <w:rPr>
          <w:sz w:val="20"/>
          <w:szCs w:val="20"/>
        </w:rPr>
        <w:t xml:space="preserve">, скарга № 33629/06, рішення від 8 липня 2008 року: порушення Статті 10 Європейської конвенції, заявник носив п’ятикутну червону зірку; Європейський суд з прав людини, </w:t>
      </w:r>
      <w:r>
        <w:rPr>
          <w:iCs/>
          <w:sz w:val="20"/>
          <w:szCs w:val="20"/>
        </w:rPr>
        <w:t>Fáber v. Hungary</w:t>
      </w:r>
      <w:r>
        <w:rPr>
          <w:sz w:val="20"/>
          <w:szCs w:val="20"/>
        </w:rPr>
        <w:t xml:space="preserve">, скарга № 40721/08, 24 липня 2012 року, п. 36. Див. також Комітет з прав людини ООН, </w:t>
      </w:r>
      <w:r>
        <w:rPr>
          <w:iCs/>
          <w:sz w:val="20"/>
          <w:szCs w:val="20"/>
        </w:rPr>
        <w:t>Shin v. Republic of Korea</w:t>
      </w:r>
      <w:r>
        <w:rPr>
          <w:sz w:val="20"/>
          <w:szCs w:val="20"/>
        </w:rPr>
        <w:t xml:space="preserve">, 926/2000 (2004), п. 7.2.  </w:t>
      </w:r>
    </w:p>
  </w:footnote>
  <w:footnote w:id="8">
    <w:p w:rsidR="00082B08" w:rsidRDefault="00082B08" w:rsidP="00082B08">
      <w:pPr>
        <w:pStyle w:val="a9"/>
        <w:jc w:val="both"/>
      </w:pPr>
      <w:r>
        <w:rPr>
          <w:rStyle w:val="ab"/>
        </w:rPr>
        <w:footnoteRef/>
      </w:r>
      <w:r>
        <w:t xml:space="preserve"> </w:t>
      </w:r>
      <w:r>
        <w:rPr>
          <w:sz w:val="18"/>
          <w:szCs w:val="18"/>
        </w:rPr>
        <w:t xml:space="preserve">Європейський суд з прав людини, </w:t>
      </w:r>
      <w:r>
        <w:rPr>
          <w:i/>
          <w:iCs/>
          <w:sz w:val="18"/>
          <w:szCs w:val="18"/>
        </w:rPr>
        <w:t>Shvydka v. Ukraine</w:t>
      </w:r>
      <w:r>
        <w:rPr>
          <w:sz w:val="18"/>
          <w:szCs w:val="18"/>
        </w:rPr>
        <w:t xml:space="preserve">, скарга № 17888/12, рішення від 30 жовтня 2014 року. </w:t>
      </w:r>
      <w:r>
        <w:t xml:space="preserve"> </w:t>
      </w:r>
    </w:p>
  </w:footnote>
  <w:footnote w:id="9">
    <w:p w:rsidR="00082B08" w:rsidRDefault="00082B08" w:rsidP="00082B08">
      <w:pPr>
        <w:pStyle w:val="a9"/>
        <w:jc w:val="both"/>
      </w:pPr>
      <w:r>
        <w:rPr>
          <w:rStyle w:val="ab"/>
        </w:rPr>
        <w:footnoteRef/>
      </w:r>
      <w:r>
        <w:t xml:space="preserve"> </w:t>
      </w:r>
      <w:r>
        <w:rPr>
          <w:sz w:val="18"/>
          <w:szCs w:val="18"/>
        </w:rPr>
        <w:t xml:space="preserve">Європейський суд з прав людини, </w:t>
      </w:r>
      <w:r>
        <w:rPr>
          <w:i/>
          <w:iCs/>
          <w:sz w:val="18"/>
          <w:szCs w:val="18"/>
        </w:rPr>
        <w:t>Murat Vural v. Turkey</w:t>
      </w:r>
      <w:r>
        <w:rPr>
          <w:sz w:val="18"/>
          <w:szCs w:val="18"/>
        </w:rPr>
        <w:t xml:space="preserve">, скарга № 9540/07, рішення від 21 жовтня 2014 року, п. 44. </w:t>
      </w:r>
      <w:r>
        <w:t xml:space="preserve"> </w:t>
      </w:r>
    </w:p>
  </w:footnote>
  <w:footnote w:id="10">
    <w:p w:rsidR="00082B08" w:rsidRDefault="00082B08" w:rsidP="00082B08">
      <w:pPr>
        <w:pStyle w:val="a9"/>
        <w:jc w:val="both"/>
      </w:pPr>
      <w:r>
        <w:rPr>
          <w:rStyle w:val="ab"/>
        </w:rPr>
        <w:footnoteRef/>
      </w:r>
      <w:r>
        <w:t xml:space="preserve"> </w:t>
      </w:r>
      <w:r>
        <w:rPr>
          <w:sz w:val="18"/>
          <w:szCs w:val="18"/>
        </w:rPr>
        <w:t xml:space="preserve">Європейський суд з прав людини, </w:t>
      </w:r>
      <w:r>
        <w:rPr>
          <w:i/>
          <w:iCs/>
          <w:sz w:val="18"/>
          <w:szCs w:val="18"/>
        </w:rPr>
        <w:t>Lingens v Austria</w:t>
      </w:r>
      <w:r>
        <w:rPr>
          <w:sz w:val="18"/>
          <w:szCs w:val="18"/>
        </w:rPr>
        <w:t xml:space="preserve">, скарга № 9815/82, рішення від 8 липня 1986 року, п. 42: «[С]вобода політичних дискусій лежить в самій основі концепції демократичного суспільства, якою пройнята вся Конвенція»; див. також Європейський суд з прав людини, </w:t>
      </w:r>
      <w:r>
        <w:rPr>
          <w:i/>
          <w:iCs/>
          <w:sz w:val="18"/>
          <w:szCs w:val="18"/>
        </w:rPr>
        <w:t>Wingrove v United Kingdom</w:t>
      </w:r>
      <w:r>
        <w:rPr>
          <w:sz w:val="18"/>
          <w:szCs w:val="18"/>
        </w:rPr>
        <w:t xml:space="preserve">, скарга №17419/90, рішення від 25 листопада 1996 року, п. 58: «[В]ідповідно до Статті 10 ч. 2 Конвенції (Ст. 10-2), майже не залишається можливостей для обмеження свободи слова у сфері політичних дискусій або обговорення питань, що мають суспільний інтерес». </w:t>
      </w:r>
      <w:r>
        <w:t xml:space="preserve"> </w:t>
      </w:r>
    </w:p>
  </w:footnote>
  <w:footnote w:id="11">
    <w:p w:rsidR="00082B08" w:rsidRDefault="00082B08" w:rsidP="00082B08">
      <w:pPr>
        <w:pStyle w:val="a9"/>
        <w:jc w:val="both"/>
      </w:pPr>
      <w:r>
        <w:rPr>
          <w:rStyle w:val="ab"/>
        </w:rPr>
        <w:footnoteRef/>
      </w:r>
      <w:r>
        <w:t xml:space="preserve"> </w:t>
      </w:r>
      <w:r>
        <w:rPr>
          <w:sz w:val="18"/>
          <w:szCs w:val="18"/>
        </w:rPr>
        <w:t xml:space="preserve">Європейський суд з прав людини, </w:t>
      </w:r>
      <w:r>
        <w:rPr>
          <w:i/>
          <w:iCs/>
          <w:sz w:val="18"/>
          <w:szCs w:val="18"/>
        </w:rPr>
        <w:t>Handyside v. the United Kingdom</w:t>
      </w:r>
      <w:r>
        <w:rPr>
          <w:sz w:val="18"/>
          <w:szCs w:val="18"/>
        </w:rPr>
        <w:t xml:space="preserve">, скарга № 5493/72, рішення від 7 грудня 1976 року (Пленарне засідання), п. 49. </w:t>
      </w:r>
      <w:r>
        <w:t xml:space="preserve"> </w:t>
      </w:r>
    </w:p>
  </w:footnote>
  <w:footnote w:id="12">
    <w:p w:rsidR="00082B08" w:rsidRDefault="00082B08" w:rsidP="00082B08">
      <w:pPr>
        <w:pStyle w:val="a9"/>
        <w:jc w:val="both"/>
        <w:rPr>
          <w:rFonts w:eastAsia="Calibri"/>
          <w:lang w:eastAsia="en-US"/>
        </w:rPr>
      </w:pPr>
      <w:r>
        <w:rPr>
          <w:rStyle w:val="ab"/>
        </w:rPr>
        <w:footnoteRef/>
      </w:r>
      <w:r>
        <w:t xml:space="preserve"> Спільний проміжний висновок щодо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ухвалений Венеціанською комісією на 105-му пленарному засіданні. Венеція (18-19 грудня 2015 року)</w:t>
      </w:r>
      <w:r>
        <w:rPr>
          <w:lang w:val="ru-RU"/>
        </w:rPr>
        <w:t xml:space="preserve"> [</w:t>
      </w:r>
      <w:r>
        <w:t>Електронний ресурс</w:t>
      </w:r>
      <w:r>
        <w:rPr>
          <w:lang w:val="ru-RU"/>
        </w:rPr>
        <w:t>]</w:t>
      </w:r>
      <w:r>
        <w:t xml:space="preserve"> . – Режим доступу. - http://www.osce.org/uk/odihr/216291?download=true</w:t>
      </w:r>
    </w:p>
    <w:p w:rsidR="00082B08" w:rsidRDefault="00082B08" w:rsidP="00082B08">
      <w:pPr>
        <w:pStyle w:val="a9"/>
        <w:jc w:val="both"/>
        <w:rPr>
          <w:lang w:eastAsia="ru-RU"/>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CD0" w:rsidRDefault="00976CD0" w:rsidP="00A64140">
    <w:pPr>
      <w:ind w:right="-31" w:firstLine="709"/>
      <w:jc w:val="right"/>
      <w:rPr>
        <w:lang w:eastAsia="en-US"/>
      </w:rPr>
    </w:pPr>
    <w:r>
      <w:t xml:space="preserve">                                                                До № 9</w:t>
    </w:r>
    <w:r w:rsidR="00881806">
      <w:t>1</w:t>
    </w:r>
    <w:r>
      <w:t>39 від 28.09.2018</w:t>
    </w:r>
    <w:r w:rsidR="00881806">
      <w:t xml:space="preserve"> р.</w:t>
    </w:r>
  </w:p>
  <w:p w:rsidR="00976CD0" w:rsidRDefault="00976CD0" w:rsidP="00A64140">
    <w:pPr>
      <w:ind w:firstLine="709"/>
      <w:jc w:val="right"/>
    </w:pPr>
    <w:r>
      <w:t xml:space="preserve">  Н. д. </w:t>
    </w:r>
    <w:r w:rsidRPr="00BE3A08">
      <w:t>Шевченко О.Л.</w:t>
    </w:r>
    <w:r w:rsidR="00A64140">
      <w:t xml:space="preserve"> та ін.</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CD0" w:rsidRDefault="00976CD0" w:rsidP="00A64140">
    <w:pPr>
      <w:ind w:right="-31" w:firstLine="709"/>
      <w:jc w:val="right"/>
      <w:rPr>
        <w:lang w:eastAsia="en-US"/>
      </w:rPr>
    </w:pPr>
    <w:r>
      <w:t xml:space="preserve">                                                                До № 9</w:t>
    </w:r>
    <w:r w:rsidR="00881806">
      <w:t>1</w:t>
    </w:r>
    <w:r>
      <w:t>39 від 28.09.2018</w:t>
    </w:r>
    <w:r w:rsidR="00881806">
      <w:t xml:space="preserve"> р.</w:t>
    </w:r>
  </w:p>
  <w:p w:rsidR="00976CD0" w:rsidRDefault="00976CD0" w:rsidP="00A64140">
    <w:pPr>
      <w:ind w:firstLine="709"/>
      <w:jc w:val="right"/>
    </w:pPr>
    <w:r>
      <w:t xml:space="preserve">  Н. д. </w:t>
    </w:r>
    <w:r w:rsidRPr="00BE3A08">
      <w:t>Шевченко О.Л.</w:t>
    </w:r>
    <w:r w:rsidR="00A64140">
      <w:t xml:space="preserve"> та ін.</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33C5"/>
    <w:multiLevelType w:val="multilevel"/>
    <w:tmpl w:val="F8022EA6"/>
    <w:lvl w:ilvl="0">
      <w:start w:val="1"/>
      <w:numFmt w:val="decimal"/>
      <w:lvlText w:val="%1."/>
      <w:lvlJc w:val="left"/>
      <w:pPr>
        <w:ind w:left="1069" w:hanging="360"/>
      </w:pPr>
      <w:rPr>
        <w:b/>
      </w:rPr>
    </w:lvl>
    <w:lvl w:ilvl="1">
      <w:start w:val="2"/>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1" w15:restartNumberingAfterBreak="0">
    <w:nsid w:val="35623528"/>
    <w:multiLevelType w:val="hybridMultilevel"/>
    <w:tmpl w:val="605AEFD4"/>
    <w:lvl w:ilvl="0" w:tplc="38C68B72">
      <w:start w:val="4"/>
      <w:numFmt w:val="decimal"/>
      <w:lvlText w:val="%1."/>
      <w:lvlJc w:val="left"/>
      <w:pPr>
        <w:ind w:left="786" w:hanging="360"/>
      </w:pPr>
      <w:rPr>
        <w:b/>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A08"/>
    <w:rsid w:val="00023D96"/>
    <w:rsid w:val="00082B08"/>
    <w:rsid w:val="001646D0"/>
    <w:rsid w:val="001763B5"/>
    <w:rsid w:val="001D4D29"/>
    <w:rsid w:val="001E5F24"/>
    <w:rsid w:val="002046A8"/>
    <w:rsid w:val="00220DFA"/>
    <w:rsid w:val="00316514"/>
    <w:rsid w:val="004367AF"/>
    <w:rsid w:val="004767D3"/>
    <w:rsid w:val="004B2120"/>
    <w:rsid w:val="004E3D92"/>
    <w:rsid w:val="005316A7"/>
    <w:rsid w:val="005E611E"/>
    <w:rsid w:val="00673DED"/>
    <w:rsid w:val="006C2468"/>
    <w:rsid w:val="00740007"/>
    <w:rsid w:val="007B7A7C"/>
    <w:rsid w:val="007E7776"/>
    <w:rsid w:val="007F2FE6"/>
    <w:rsid w:val="00875AD6"/>
    <w:rsid w:val="00881806"/>
    <w:rsid w:val="008D0168"/>
    <w:rsid w:val="008D71AA"/>
    <w:rsid w:val="00946CB3"/>
    <w:rsid w:val="00976CD0"/>
    <w:rsid w:val="009D5858"/>
    <w:rsid w:val="00A0723B"/>
    <w:rsid w:val="00A10246"/>
    <w:rsid w:val="00A21B77"/>
    <w:rsid w:val="00A42A1D"/>
    <w:rsid w:val="00A64140"/>
    <w:rsid w:val="00A67A86"/>
    <w:rsid w:val="00AA34C5"/>
    <w:rsid w:val="00AD08DD"/>
    <w:rsid w:val="00B36C36"/>
    <w:rsid w:val="00B5306F"/>
    <w:rsid w:val="00BE3A08"/>
    <w:rsid w:val="00BF7F4F"/>
    <w:rsid w:val="00C03B88"/>
    <w:rsid w:val="00C21061"/>
    <w:rsid w:val="00C362FA"/>
    <w:rsid w:val="00C940D9"/>
    <w:rsid w:val="00CB7C7E"/>
    <w:rsid w:val="00CF53FB"/>
    <w:rsid w:val="00DC177B"/>
    <w:rsid w:val="00DC7B3A"/>
    <w:rsid w:val="00E33BB8"/>
    <w:rsid w:val="00EA3121"/>
    <w:rsid w:val="00FA34D6"/>
    <w:rsid w:val="00FB3FB9"/>
    <w:rsid w:val="00FE22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CB4CFA-83B0-4D6B-8B12-84704F33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A08"/>
    <w:pPr>
      <w:spacing w:after="0" w:line="240" w:lineRule="auto"/>
    </w:pPr>
    <w:rPr>
      <w:rFonts w:ascii="Times New Roman" w:eastAsia="Times New Roman" w:hAnsi="Times New Roman" w:cs="Times New Roman"/>
      <w:sz w:val="24"/>
      <w:szCs w:val="24"/>
      <w:lang w:eastAsia="en-GB"/>
    </w:rPr>
  </w:style>
  <w:style w:type="paragraph" w:styleId="3">
    <w:name w:val="heading 3"/>
    <w:basedOn w:val="a"/>
    <w:link w:val="30"/>
    <w:uiPriority w:val="9"/>
    <w:unhideWhenUsed/>
    <w:qFormat/>
    <w:rsid w:val="004767D3"/>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azva">
    <w:name w:val="Nazva"/>
    <w:basedOn w:val="a"/>
    <w:rsid w:val="00BE3A08"/>
    <w:pPr>
      <w:jc w:val="center"/>
    </w:pPr>
    <w:rPr>
      <w:b/>
      <w:sz w:val="28"/>
      <w:lang w:val="ru-RU" w:eastAsia="ru-RU"/>
    </w:rPr>
  </w:style>
  <w:style w:type="paragraph" w:styleId="a3">
    <w:name w:val="header"/>
    <w:basedOn w:val="a"/>
    <w:link w:val="a4"/>
    <w:uiPriority w:val="99"/>
    <w:unhideWhenUsed/>
    <w:rsid w:val="00BE3A08"/>
    <w:pPr>
      <w:tabs>
        <w:tab w:val="center" w:pos="4819"/>
        <w:tab w:val="right" w:pos="9639"/>
      </w:tabs>
    </w:pPr>
  </w:style>
  <w:style w:type="character" w:customStyle="1" w:styleId="a4">
    <w:name w:val="Верхній колонтитул Знак"/>
    <w:basedOn w:val="a0"/>
    <w:link w:val="a3"/>
    <w:uiPriority w:val="99"/>
    <w:rsid w:val="00BE3A08"/>
    <w:rPr>
      <w:rFonts w:ascii="Times New Roman" w:eastAsia="Times New Roman" w:hAnsi="Times New Roman" w:cs="Times New Roman"/>
      <w:sz w:val="24"/>
      <w:szCs w:val="24"/>
      <w:lang w:eastAsia="en-GB"/>
    </w:rPr>
  </w:style>
  <w:style w:type="paragraph" w:styleId="a5">
    <w:name w:val="footer"/>
    <w:basedOn w:val="a"/>
    <w:link w:val="a6"/>
    <w:uiPriority w:val="99"/>
    <w:unhideWhenUsed/>
    <w:rsid w:val="00BE3A08"/>
    <w:pPr>
      <w:tabs>
        <w:tab w:val="center" w:pos="4819"/>
        <w:tab w:val="right" w:pos="9639"/>
      </w:tabs>
    </w:pPr>
  </w:style>
  <w:style w:type="character" w:customStyle="1" w:styleId="a6">
    <w:name w:val="Нижній колонтитул Знак"/>
    <w:basedOn w:val="a0"/>
    <w:link w:val="a5"/>
    <w:uiPriority w:val="99"/>
    <w:rsid w:val="00BE3A08"/>
    <w:rPr>
      <w:rFonts w:ascii="Times New Roman" w:eastAsia="Times New Roman" w:hAnsi="Times New Roman" w:cs="Times New Roman"/>
      <w:sz w:val="24"/>
      <w:szCs w:val="24"/>
      <w:lang w:eastAsia="en-GB"/>
    </w:rPr>
  </w:style>
  <w:style w:type="character" w:customStyle="1" w:styleId="30">
    <w:name w:val="Заголовок 3 Знак"/>
    <w:basedOn w:val="a0"/>
    <w:link w:val="3"/>
    <w:uiPriority w:val="9"/>
    <w:rsid w:val="004767D3"/>
    <w:rPr>
      <w:rFonts w:ascii="Times New Roman" w:eastAsia="Times New Roman" w:hAnsi="Times New Roman" w:cs="Times New Roman"/>
      <w:b/>
      <w:bCs/>
      <w:sz w:val="27"/>
      <w:szCs w:val="27"/>
      <w:lang w:eastAsia="uk-UA"/>
    </w:rPr>
  </w:style>
  <w:style w:type="character" w:styleId="a7">
    <w:name w:val="Hyperlink"/>
    <w:basedOn w:val="a0"/>
    <w:uiPriority w:val="99"/>
    <w:semiHidden/>
    <w:rsid w:val="00740007"/>
    <w:rPr>
      <w:color w:val="0000FF"/>
      <w:u w:val="single"/>
    </w:rPr>
  </w:style>
  <w:style w:type="paragraph" w:styleId="a8">
    <w:name w:val="List Paragraph"/>
    <w:basedOn w:val="a"/>
    <w:uiPriority w:val="34"/>
    <w:qFormat/>
    <w:rsid w:val="005E611E"/>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rvts23">
    <w:name w:val="rvts23"/>
    <w:basedOn w:val="a0"/>
    <w:rsid w:val="005E611E"/>
  </w:style>
  <w:style w:type="character" w:customStyle="1" w:styleId="rvts0">
    <w:name w:val="rvts0"/>
    <w:basedOn w:val="a0"/>
    <w:rsid w:val="005E611E"/>
  </w:style>
  <w:style w:type="character" w:customStyle="1" w:styleId="st">
    <w:name w:val="st"/>
    <w:basedOn w:val="a0"/>
    <w:rsid w:val="005E611E"/>
  </w:style>
  <w:style w:type="paragraph" w:styleId="a9">
    <w:name w:val="footnote text"/>
    <w:basedOn w:val="a"/>
    <w:link w:val="aa"/>
    <w:semiHidden/>
    <w:unhideWhenUsed/>
    <w:rsid w:val="00DC177B"/>
    <w:rPr>
      <w:sz w:val="20"/>
      <w:szCs w:val="20"/>
    </w:rPr>
  </w:style>
  <w:style w:type="character" w:customStyle="1" w:styleId="aa">
    <w:name w:val="Текст виноски Знак"/>
    <w:basedOn w:val="a0"/>
    <w:link w:val="a9"/>
    <w:semiHidden/>
    <w:rsid w:val="00DC177B"/>
    <w:rPr>
      <w:rFonts w:ascii="Times New Roman" w:eastAsia="Times New Roman" w:hAnsi="Times New Roman" w:cs="Times New Roman"/>
      <w:sz w:val="20"/>
      <w:szCs w:val="20"/>
      <w:lang w:eastAsia="en-GB"/>
    </w:rPr>
  </w:style>
  <w:style w:type="character" w:styleId="ab">
    <w:name w:val="footnote reference"/>
    <w:basedOn w:val="a0"/>
    <w:semiHidden/>
    <w:unhideWhenUsed/>
    <w:rsid w:val="00DC177B"/>
    <w:rPr>
      <w:vertAlign w:val="superscript"/>
    </w:rPr>
  </w:style>
  <w:style w:type="paragraph" w:customStyle="1" w:styleId="Default">
    <w:name w:val="Default"/>
    <w:rsid w:val="00976CD0"/>
    <w:pPr>
      <w:autoSpaceDE w:val="0"/>
      <w:autoSpaceDN w:val="0"/>
      <w:adjustRightInd w:val="0"/>
      <w:spacing w:after="0" w:line="240" w:lineRule="auto"/>
    </w:pPr>
    <w:rPr>
      <w:rFonts w:ascii="Arial" w:hAnsi="Arial" w:cs="Arial"/>
      <w:color w:val="000000"/>
      <w:sz w:val="24"/>
      <w:szCs w:val="24"/>
    </w:rPr>
  </w:style>
  <w:style w:type="paragraph" w:styleId="ac">
    <w:name w:val="Balloon Text"/>
    <w:basedOn w:val="a"/>
    <w:link w:val="ad"/>
    <w:uiPriority w:val="99"/>
    <w:semiHidden/>
    <w:unhideWhenUsed/>
    <w:rsid w:val="001763B5"/>
    <w:rPr>
      <w:rFonts w:ascii="Segoe UI" w:hAnsi="Segoe UI" w:cs="Segoe UI"/>
      <w:sz w:val="18"/>
      <w:szCs w:val="18"/>
    </w:rPr>
  </w:style>
  <w:style w:type="character" w:customStyle="1" w:styleId="ad">
    <w:name w:val="Текст у виносці Знак"/>
    <w:basedOn w:val="a0"/>
    <w:link w:val="ac"/>
    <w:uiPriority w:val="99"/>
    <w:semiHidden/>
    <w:rsid w:val="001763B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387220">
      <w:bodyDiv w:val="1"/>
      <w:marLeft w:val="0"/>
      <w:marRight w:val="0"/>
      <w:marTop w:val="0"/>
      <w:marBottom w:val="0"/>
      <w:divBdr>
        <w:top w:val="none" w:sz="0" w:space="0" w:color="auto"/>
        <w:left w:val="none" w:sz="0" w:space="0" w:color="auto"/>
        <w:bottom w:val="none" w:sz="0" w:space="0" w:color="auto"/>
        <w:right w:val="none" w:sz="0" w:space="0" w:color="auto"/>
      </w:divBdr>
    </w:div>
    <w:div w:id="264925379">
      <w:bodyDiv w:val="1"/>
      <w:marLeft w:val="0"/>
      <w:marRight w:val="0"/>
      <w:marTop w:val="0"/>
      <w:marBottom w:val="0"/>
      <w:divBdr>
        <w:top w:val="none" w:sz="0" w:space="0" w:color="auto"/>
        <w:left w:val="none" w:sz="0" w:space="0" w:color="auto"/>
        <w:bottom w:val="none" w:sz="0" w:space="0" w:color="auto"/>
        <w:right w:val="none" w:sz="0" w:space="0" w:color="auto"/>
      </w:divBdr>
    </w:div>
    <w:div w:id="737090134">
      <w:bodyDiv w:val="1"/>
      <w:marLeft w:val="0"/>
      <w:marRight w:val="0"/>
      <w:marTop w:val="0"/>
      <w:marBottom w:val="0"/>
      <w:divBdr>
        <w:top w:val="none" w:sz="0" w:space="0" w:color="auto"/>
        <w:left w:val="none" w:sz="0" w:space="0" w:color="auto"/>
        <w:bottom w:val="none" w:sz="0" w:space="0" w:color="auto"/>
        <w:right w:val="none" w:sz="0" w:space="0" w:color="auto"/>
      </w:divBdr>
    </w:div>
    <w:div w:id="1017582823">
      <w:bodyDiv w:val="1"/>
      <w:marLeft w:val="0"/>
      <w:marRight w:val="0"/>
      <w:marTop w:val="0"/>
      <w:marBottom w:val="0"/>
      <w:divBdr>
        <w:top w:val="none" w:sz="0" w:space="0" w:color="auto"/>
        <w:left w:val="none" w:sz="0" w:space="0" w:color="auto"/>
        <w:bottom w:val="none" w:sz="0" w:space="0" w:color="auto"/>
        <w:right w:val="none" w:sz="0" w:space="0" w:color="auto"/>
      </w:divBdr>
    </w:div>
    <w:div w:id="1056968963">
      <w:bodyDiv w:val="1"/>
      <w:marLeft w:val="0"/>
      <w:marRight w:val="0"/>
      <w:marTop w:val="0"/>
      <w:marBottom w:val="0"/>
      <w:divBdr>
        <w:top w:val="none" w:sz="0" w:space="0" w:color="auto"/>
        <w:left w:val="none" w:sz="0" w:space="0" w:color="auto"/>
        <w:bottom w:val="none" w:sz="0" w:space="0" w:color="auto"/>
        <w:right w:val="none" w:sz="0" w:space="0" w:color="auto"/>
      </w:divBdr>
    </w:div>
    <w:div w:id="1058626819">
      <w:bodyDiv w:val="1"/>
      <w:marLeft w:val="0"/>
      <w:marRight w:val="0"/>
      <w:marTop w:val="0"/>
      <w:marBottom w:val="0"/>
      <w:divBdr>
        <w:top w:val="none" w:sz="0" w:space="0" w:color="auto"/>
        <w:left w:val="none" w:sz="0" w:space="0" w:color="auto"/>
        <w:bottom w:val="none" w:sz="0" w:space="0" w:color="auto"/>
        <w:right w:val="none" w:sz="0" w:space="0" w:color="auto"/>
      </w:divBdr>
    </w:div>
    <w:div w:id="1295212760">
      <w:bodyDiv w:val="1"/>
      <w:marLeft w:val="0"/>
      <w:marRight w:val="0"/>
      <w:marTop w:val="0"/>
      <w:marBottom w:val="0"/>
      <w:divBdr>
        <w:top w:val="none" w:sz="0" w:space="0" w:color="auto"/>
        <w:left w:val="none" w:sz="0" w:space="0" w:color="auto"/>
        <w:bottom w:val="none" w:sz="0" w:space="0" w:color="auto"/>
        <w:right w:val="none" w:sz="0" w:space="0" w:color="auto"/>
      </w:divBdr>
    </w:div>
    <w:div w:id="1707943618">
      <w:bodyDiv w:val="1"/>
      <w:marLeft w:val="0"/>
      <w:marRight w:val="0"/>
      <w:marTop w:val="0"/>
      <w:marBottom w:val="0"/>
      <w:divBdr>
        <w:top w:val="none" w:sz="0" w:space="0" w:color="auto"/>
        <w:left w:val="none" w:sz="0" w:space="0" w:color="auto"/>
        <w:bottom w:val="none" w:sz="0" w:space="0" w:color="auto"/>
        <w:right w:val="none" w:sz="0" w:space="0" w:color="auto"/>
      </w:divBdr>
    </w:div>
    <w:div w:id="174988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317-1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venice.coe.int/webforms/documents/?pdf=CDL-INF(2000)001-e"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DD1A2-F68B-4D8D-B5CD-96ADEA0B4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14843</Words>
  <Characters>8462</Characters>
  <Application>Microsoft Office Word</Application>
  <DocSecurity>0</DocSecurity>
  <Lines>70</Lines>
  <Paragraphs>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Мірошниченко Оксана Петрівна</dc:creator>
  <cp:keywords/>
  <dc:description/>
  <cp:lastModifiedBy>Кисельова Юлія Анатоліївна</cp:lastModifiedBy>
  <cp:revision>2</cp:revision>
  <cp:lastPrinted>2018-11-13T08:57:00Z</cp:lastPrinted>
  <dcterms:created xsi:type="dcterms:W3CDTF">2018-11-14T10:00:00Z</dcterms:created>
  <dcterms:modified xsi:type="dcterms:W3CDTF">2018-11-14T10:00:00Z</dcterms:modified>
</cp:coreProperties>
</file>