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посилення гарантій захисту державою права власності»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Обґрунтування необхідності прийняття законопроекту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 деяких законодавчих актів України щодо посилення гарантій захисту державою права власності» (далі – проект Закону) є альтернативним до проекту Закону України «Про внесення змін до деяких законодавчих актів Україн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щодо посилення гарантій захисту державою права власності», реєстр. №9311 від 21 листопада 2018 року (далі – проект №9311).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№9311 може призвести до знищення нотаріату як правового інституту, оскільки ним пропонуються суттєві зміни, які безпосередн</w:t>
      </w:r>
      <w:r>
        <w:rPr>
          <w:rFonts w:ascii="Times New Roman" w:eastAsia="Times New Roman" w:hAnsi="Times New Roman" w:cs="Times New Roman"/>
          <w:sz w:val="28"/>
          <w:szCs w:val="28"/>
        </w:rPr>
        <w:t>ьо стосуються нотаріату як системи органів та посадових осіб, яким держава делегувала повноваження вчиняти нотаріальні дії та здійснювати державну реєстрацію прав власності та бізнесу.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№9311 вкотре пропонується закріпити в українському законодавст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 новий перелік осіб, яким без складання кваліфікаційного іспиту надається право вчиняти нотаріальні дії та здійснювати державну реєстрацію прав та бізнесу, що створює додаткові можливості для рейдерства та корупції.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фактично пропонується видава</w:t>
      </w:r>
      <w:r>
        <w:rPr>
          <w:rFonts w:ascii="Times New Roman" w:eastAsia="Times New Roman" w:hAnsi="Times New Roman" w:cs="Times New Roman"/>
          <w:sz w:val="28"/>
          <w:szCs w:val="28"/>
        </w:rPr>
        <w:t>ти у неконтрольованій кількості свідоцтва про право на зайняття нотаріальною діяльністю співробітникам управлінь юстиції та уповноваженим посадовим особам органів місцевого самоврядування: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проходження спеціального стажування;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досвіду роботи помічни</w:t>
      </w:r>
      <w:r>
        <w:rPr>
          <w:rFonts w:ascii="Times New Roman" w:eastAsia="Times New Roman" w:hAnsi="Times New Roman" w:cs="Times New Roman"/>
          <w:sz w:val="28"/>
          <w:szCs w:val="28"/>
        </w:rPr>
        <w:t>ком нотаріуса;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досвіду роботи в державних реєстрах;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складання кваліфікаційного іспиту.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  <w:t>Такий підхід порушує принцип рівності доступу осіб до професії нотаріуса, ставить під сумнів безспірність вчинення нотаріальних дій та їх якість.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Крім того, хоча проект №9311 й встановлює обов’язок особи, яка отримала свідоцтво без складання іспиту, відпрацювати три роки в будь-якій державній нотаріальній конторі, визначеній Мін’юстом, втім проектом не передбачено жодної прив’язки до сільських насел</w:t>
      </w:r>
      <w:r>
        <w:rPr>
          <w:rFonts w:ascii="Times New Roman" w:eastAsia="Times New Roman" w:hAnsi="Times New Roman" w:cs="Times New Roman"/>
          <w:sz w:val="28"/>
          <w:szCs w:val="28"/>
        </w:rPr>
        <w:t>ених пунктів або віддалених районів, де дійсно існує кадровий дефіцит державних нотаріусів та відсутність доступу до нотаріальних послуг. Такий підхід, з одного боку, не вирішить питання забезпечення доступу населення у сільській місцевості та у віддалених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районах до нотаріальних послуг, а за іншого, створить умови, які призведуть до значних корупційних ризиків та зловживань при прийнятті рішень щодо направлення осіб, яким за новою процедурою буде видане свідоцтво про право на зайняття нотаріальною діяльніс</w:t>
      </w:r>
      <w:r>
        <w:rPr>
          <w:rFonts w:ascii="Times New Roman" w:eastAsia="Times New Roman" w:hAnsi="Times New Roman" w:cs="Times New Roman"/>
          <w:sz w:val="28"/>
          <w:szCs w:val="28"/>
        </w:rPr>
        <w:t>тю, відпрацювати в тій чи іншій державній нотаріальній конторі.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Проектом №9311 через скасування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мінімальної межі плати за вчинення нотаріальних дій приватними нотаріусами – 1% від суми договору, фактично пропонується перетворити нотаріуса на підприємця, не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зважаючи на те, що чинне законодавство України містить цілу низку вимог та заборон, котрі не дозволяють нотаріусам здійснювати свою діяльність на конкурентних засадах, котрі існують в підприємницькій діяльності.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Фактично пропоновані проектом №9311 зміни 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понукатимуть нотаріусів на порушення міжнародних та національних правил професійної етики, наслідком чого може бути анулювання свідоцтва нотаріуса та виключення України з Міжнародного союзу латинського нотаріату, що значно вдарить по світовому іміджу Украї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ни та визнанню легітимності наших документів в Європі.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і основний законопроект</w:t>
      </w:r>
      <w:r>
        <w:rPr>
          <w:rFonts w:ascii="Times New Roman" w:eastAsia="Times New Roman" w:hAnsi="Times New Roman" w:cs="Times New Roman"/>
          <w:sz w:val="28"/>
          <w:szCs w:val="28"/>
        </w:rPr>
        <w:t>, дан</w:t>
      </w:r>
      <w:r>
        <w:rPr>
          <w:rFonts w:ascii="Times New Roman" w:eastAsia="Times New Roman" w:hAnsi="Times New Roman" w:cs="Times New Roman"/>
          <w:sz w:val="28"/>
          <w:szCs w:val="28"/>
        </w:rPr>
        <w:t>ий альтернативний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проекту Закону має на меті впровадження в чинне законодавство України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змін </w:t>
      </w:r>
      <w:r>
        <w:rPr>
          <w:rFonts w:ascii="Times New Roman" w:eastAsia="Times New Roman" w:hAnsi="Times New Roman" w:cs="Times New Roman"/>
          <w:sz w:val="28"/>
          <w:szCs w:val="28"/>
        </w:rPr>
        <w:t>з метою вирішення проблемних питань у сферах нотаріату, державної реєстрації речових прав на нерухоме майно, державної реєстрації бізнесу тощо.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Втім</w:t>
      </w:r>
      <w:r>
        <w:rPr>
          <w:rFonts w:ascii="Times New Roman" w:eastAsia="Times New Roman" w:hAnsi="Times New Roman" w:cs="Times New Roman"/>
          <w:sz w:val="28"/>
          <w:szCs w:val="28"/>
        </w:rPr>
        <w:t>, дани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проек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поряд із запровадженням змін,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передбачає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руйнування основоположних підвалин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підтве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рдженої позитивним досвідом системи нотаріату України.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Цілі та основні завдання прийняття законопроекту  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проекту Закону є створення законодавчих передумов для: посилення гарантій захисту державою права власності фізичних та юридичних осіб на </w:t>
      </w:r>
      <w:r>
        <w:rPr>
          <w:rFonts w:ascii="Times New Roman" w:eastAsia="Times New Roman" w:hAnsi="Times New Roman" w:cs="Times New Roman"/>
          <w:sz w:val="28"/>
          <w:szCs w:val="28"/>
        </w:rPr>
        <w:t>нерухоме майно, корпоративних прав, права власності на частку у статутному капіталі юридичної особи; розвитку та спрощення для громадян процедури отримання нотаріальних послуг; а також продовження руху у напрямку реформування найбільш важливих сфер суспіль</w:t>
      </w:r>
      <w:r>
        <w:rPr>
          <w:rFonts w:ascii="Times New Roman" w:eastAsia="Times New Roman" w:hAnsi="Times New Roman" w:cs="Times New Roman"/>
          <w:sz w:val="28"/>
          <w:szCs w:val="28"/>
        </w:rPr>
        <w:t>ного життя з урахуванням досвіду інших країн та вивченням проблемних ситуацій в Україні.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Закону передбачається внесення змін до ряду законодавчих актів у сфері цивільних, корпоративних відносин, направлених на забезпечення максимальних гарантій захисту державою права власності, а саме: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до </w:t>
      </w:r>
      <w:r>
        <w:rPr>
          <w:rFonts w:ascii="Times New Roman" w:eastAsia="Times New Roman" w:hAnsi="Times New Roman" w:cs="Times New Roman"/>
          <w:sz w:val="28"/>
          <w:szCs w:val="28"/>
        </w:rPr>
        <w:t>Кодексу України про адміністративні правоп</w:t>
      </w:r>
      <w:r>
        <w:rPr>
          <w:rFonts w:ascii="Times New Roman" w:eastAsia="Times New Roman" w:hAnsi="Times New Roman" w:cs="Times New Roman"/>
          <w:sz w:val="28"/>
          <w:szCs w:val="28"/>
        </w:rPr>
        <w:t>орушення: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посилення відповідальності за порушення законодавства про державну реєстрацію юридичних осіб, фізичних осіб - підприємців та громадських формувань, порушення законодавства у сфері ліцензування видів господарської діяльності, порушення порядку дер</w:t>
      </w:r>
      <w:r>
        <w:rPr>
          <w:rFonts w:ascii="Times New Roman" w:eastAsia="Times New Roman" w:hAnsi="Times New Roman" w:cs="Times New Roman"/>
          <w:sz w:val="28"/>
          <w:szCs w:val="28"/>
        </w:rPr>
        <w:t>жавної реєстрації речових прав на нерухоме майно та їх обтяжень;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до Закону України «Про товариства з обмеженою та додатковою відповідальністю»: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можливості товариства створюватися на підставі модельного статуту;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до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державну реєстрацію речових прав на нерухоме майно та їх обтяжень»: 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проектом Закону передбачається з суб’єктів державної реєстрації прав виключити акредитовані державні та комунальні підприємства;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обов’язкового підвищення кваліфікації для д</w:t>
      </w:r>
      <w:r>
        <w:rPr>
          <w:rFonts w:ascii="Times New Roman" w:eastAsia="Times New Roman" w:hAnsi="Times New Roman" w:cs="Times New Roman"/>
          <w:sz w:val="28"/>
          <w:szCs w:val="28"/>
        </w:rPr>
        <w:t>ержавних реєстраторів;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удосконаленої взаємодії між Державним реєстром речових прав на нерухоме майно та Державним земельним кадастром;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встановлення норми, відповідно до якої перевірка цивільної правоздатності та дієздатності фізичної особи зд</w:t>
      </w:r>
      <w:r>
        <w:rPr>
          <w:rFonts w:ascii="Times New Roman" w:eastAsia="Times New Roman" w:hAnsi="Times New Roman" w:cs="Times New Roman"/>
          <w:sz w:val="28"/>
          <w:szCs w:val="28"/>
        </w:rPr>
        <w:t>ійснюється шляхом отримання відомостей про таку особу з Державного реєстру актів цивільного стану громадян, перевірка дійсності та змісту довіреності в Єдиному реєстрі довіреності, а також перевірку наявності обтяжень корпоративних прав в Державному реєстр</w:t>
      </w:r>
      <w:r>
        <w:rPr>
          <w:rFonts w:ascii="Times New Roman" w:eastAsia="Times New Roman" w:hAnsi="Times New Roman" w:cs="Times New Roman"/>
          <w:sz w:val="28"/>
          <w:szCs w:val="28"/>
        </w:rPr>
        <w:t>і обтяжень рухомого майна;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деталізована регламентація здійснення реєстраційних дій у результаті вчинення нотаріальної дії з нерухомим майном тощо;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до Закону України «Про державну реєстрацію юридичних осіб, фізичних осіб - підприємців та громадських формувань»: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із суб’єктів державної реєстрації прав виключаються акредитовані державні та комунальні підприємства;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обов’язкового підвищенн</w:t>
      </w:r>
      <w:r>
        <w:rPr>
          <w:rFonts w:ascii="Times New Roman" w:eastAsia="Times New Roman" w:hAnsi="Times New Roman" w:cs="Times New Roman"/>
          <w:sz w:val="28"/>
          <w:szCs w:val="28"/>
        </w:rPr>
        <w:t>я кваліфікації для державних реєстраторів;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встановлення норми, відповідно до якої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</w:t>
      </w:r>
      <w:r>
        <w:rPr>
          <w:rFonts w:ascii="Times New Roman" w:eastAsia="Times New Roman" w:hAnsi="Times New Roman" w:cs="Times New Roman"/>
          <w:sz w:val="28"/>
          <w:szCs w:val="28"/>
        </w:rPr>
        <w:t>, перевірка дійсності та змісту довіреності в Єдиному реєстрі довіреності, а також перевірку наявності обтяжень корпоративних прав в Державному реєстрі обтяжень рухомого майна;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встановлено обов’язок підписання рішень загальних зборів щодо збільшення/зменше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ння статутного капіталу, щодо частки учасника у статутному (складеному) капіталі юридичної особи виключно учасниками чи уповноваженими ними особами із засвідченням справжності підписів тощо; 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до Закону України «Про нотаріат»: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зміни у формуванні складу </w:t>
      </w:r>
      <w:r>
        <w:rPr>
          <w:rFonts w:ascii="Times New Roman" w:eastAsia="Times New Roman" w:hAnsi="Times New Roman" w:cs="Times New Roman"/>
          <w:sz w:val="28"/>
          <w:szCs w:val="28"/>
        </w:rPr>
        <w:t>Вищої  кваліфікаційної  комісії  нотаріату для забезпечення незалежності нотаріальної спільноти та усунення будь-яких можливостей для тиску на нотаріусів;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встановлення чіткої системи визначення розмірів заробітної плати державних нотаріусів з метою належно</w:t>
      </w:r>
      <w:r>
        <w:rPr>
          <w:rFonts w:ascii="Times New Roman" w:eastAsia="Times New Roman" w:hAnsi="Times New Roman" w:cs="Times New Roman"/>
          <w:sz w:val="28"/>
          <w:szCs w:val="28"/>
        </w:rPr>
        <w:t>го їхнього фінансового забезпечення для стимулювання нотаріусів працювати в віддалених районах, у яких громадяни обмежені в доступі до вчинення нотаріальних дій;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EF3FBC" w:rsidRDefault="00EF3FBC">
      <w:pPr>
        <w:pStyle w:val="3"/>
        <w:spacing w:before="0" w:after="0"/>
        <w:ind w:firstLine="709"/>
        <w:contextualSpacing w:val="0"/>
        <w:jc w:val="both"/>
        <w:rPr>
          <w:sz w:val="28"/>
          <w:szCs w:val="28"/>
        </w:rPr>
      </w:pP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 зазначеній сфері пра</w:t>
      </w:r>
      <w:r>
        <w:rPr>
          <w:b w:val="0"/>
          <w:sz w:val="28"/>
          <w:szCs w:val="28"/>
        </w:rPr>
        <w:t>вового регулювання діють такі законодавчі акти:</w:t>
      </w:r>
    </w:p>
    <w:p w:rsidR="00EF3FBC" w:rsidRDefault="00DF23AF">
      <w:pPr>
        <w:ind w:firstLine="709"/>
        <w:contextualSpacing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Кодекс України про адміністративні правопорушення: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 України «Про державну реєстрацію речових прав на нерухоме майно та їх обтяжень»;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 України «Про державну реєстрацію юридичних осіб, фізичних осіб - підприємців та громадських формувань»;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 України «Про нотаріат»;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 України «Про товариства з обмеженою та додатковою відповідальністю»;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 України «Про безоплатну правову допомогу»;</w:t>
      </w:r>
    </w:p>
    <w:p w:rsidR="00EF3FBC" w:rsidRDefault="00DF23AF">
      <w:pPr>
        <w:pStyle w:val="3"/>
        <w:spacing w:before="0" w:after="0"/>
        <w:ind w:firstLine="709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Закон України «Про забезпечення прав і свобод внутрішньо переміщених осіб» та інші.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rPr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Реалізація положень проекту Закону не потребуватиме додаткових витрат Державного та </w:t>
      </w:r>
      <w:r>
        <w:rPr>
          <w:rFonts w:ascii="Times New Roman" w:eastAsia="Times New Roman" w:hAnsi="Times New Roman" w:cs="Times New Roman"/>
          <w:sz w:val="28"/>
          <w:szCs w:val="28"/>
        </w:rPr>
        <w:t>місцевих бюджетів України.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проекту Закону дозволить створити законодавчі передумови для посилення гарантій захисту державою права власності фізичних та юридичних осіб </w:t>
      </w:r>
      <w:r>
        <w:rPr>
          <w:rFonts w:ascii="Times New Roman" w:eastAsia="Times New Roman" w:hAnsi="Times New Roman" w:cs="Times New Roman"/>
          <w:sz w:val="28"/>
          <w:szCs w:val="28"/>
        </w:rPr>
        <w:t>на нерухоме майно, корпоративних прав та дозволить продовжити реформування найбільш важливих сфер суспільного життя в Україні.</w:t>
      </w: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3FBC" w:rsidRDefault="00EF3FBC">
      <w:pPr>
        <w:pBdr>
          <w:top w:val="nil"/>
          <w:left w:val="nil"/>
          <w:bottom w:val="nil"/>
          <w:right w:val="nil"/>
          <w:between w:val="nil"/>
        </w:pBdr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467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9889"/>
        <w:gridCol w:w="4785"/>
      </w:tblGrid>
      <w:tr w:rsidR="00EF3FBC">
        <w:tc>
          <w:tcPr>
            <w:tcW w:w="98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FBC" w:rsidRDefault="00DF23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депутат України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Шкрум А.І. </w:t>
            </w:r>
          </w:p>
          <w:p w:rsidR="00EF3FBC" w:rsidRDefault="00EF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F3FBC" w:rsidRDefault="00EF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FBC" w:rsidRDefault="00EF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F3FBC" w:rsidRDefault="00DF23AF">
      <w:pPr>
        <w:pBdr>
          <w:top w:val="nil"/>
          <w:left w:val="nil"/>
          <w:bottom w:val="nil"/>
          <w:right w:val="nil"/>
          <w:between w:val="nil"/>
        </w:pBdr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</w:p>
    <w:sectPr w:rsidR="00EF3FBC">
      <w:headerReference w:type="default" r:id="rId6"/>
      <w:pgSz w:w="11906" w:h="16838"/>
      <w:pgMar w:top="851" w:right="567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3AF" w:rsidRDefault="00DF23AF">
      <w:r>
        <w:separator/>
      </w:r>
    </w:p>
  </w:endnote>
  <w:endnote w:type="continuationSeparator" w:id="0">
    <w:p w:rsidR="00DF23AF" w:rsidRDefault="00DF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3AF" w:rsidRDefault="00DF23AF">
      <w:r>
        <w:separator/>
      </w:r>
    </w:p>
  </w:footnote>
  <w:footnote w:type="continuationSeparator" w:id="0">
    <w:p w:rsidR="00DF23AF" w:rsidRDefault="00DF2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FBC" w:rsidRDefault="00DF23AF">
    <w:pPr>
      <w:pBdr>
        <w:top w:val="nil"/>
        <w:left w:val="nil"/>
        <w:bottom w:val="nil"/>
        <w:right w:val="nil"/>
        <w:between w:val="nil"/>
      </w:pBdr>
      <w:contextualSpacing w:val="0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C30F2C">
      <w:rPr>
        <w:color w:val="000000"/>
      </w:rPr>
      <w:fldChar w:fldCharType="separate"/>
    </w:r>
    <w:r w:rsidR="00C30F2C">
      <w:rPr>
        <w:noProof/>
        <w:color w:val="000000"/>
      </w:rPr>
      <w:t>3</w:t>
    </w:r>
    <w:r>
      <w:rPr>
        <w:color w:val="000000"/>
      </w:rPr>
      <w:fldChar w:fldCharType="end"/>
    </w:r>
  </w:p>
  <w:p w:rsidR="00EF3FBC" w:rsidRDefault="00EF3FBC">
    <w:pPr>
      <w:pBdr>
        <w:top w:val="nil"/>
        <w:left w:val="nil"/>
        <w:bottom w:val="nil"/>
        <w:right w:val="nil"/>
        <w:between w:val="nil"/>
      </w:pBdr>
      <w:contextualSpacing w:val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BC"/>
    <w:rsid w:val="00C30F2C"/>
    <w:rsid w:val="00DF23AF"/>
    <w:rsid w:val="00EF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44899-1F2E-4074-B67D-A3F46EFC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>
      <w:pPr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100" w:after="100"/>
      <w:outlineLvl w:val="2"/>
    </w:pPr>
    <w:rPr>
      <w:rFonts w:ascii="Times New Roman" w:eastAsia="Times New Roman" w:hAnsi="Times New Roman" w:cs="Times New Roman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Наталя</dc:creator>
  <cp:lastModifiedBy>Наталя</cp:lastModifiedBy>
  <cp:revision>2</cp:revision>
  <dcterms:created xsi:type="dcterms:W3CDTF">2018-12-06T12:47:00Z</dcterms:created>
  <dcterms:modified xsi:type="dcterms:W3CDTF">2018-12-06T12:47:00Z</dcterms:modified>
</cp:coreProperties>
</file>