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96CC8" w14:textId="7F332E3E" w:rsidR="00B86005" w:rsidRDefault="00B86005" w:rsidP="00A26BB3">
      <w:pPr>
        <w:jc w:val="center"/>
        <w:rPr>
          <w:rFonts w:eastAsia="Calibri"/>
          <w:sz w:val="28"/>
          <w:szCs w:val="28"/>
        </w:rPr>
      </w:pPr>
    </w:p>
    <w:p w14:paraId="6981F496" w14:textId="77777777" w:rsidR="00B95517" w:rsidRPr="0037645F" w:rsidRDefault="00B95517" w:rsidP="00A26BB3">
      <w:pPr>
        <w:jc w:val="center"/>
        <w:rPr>
          <w:rFonts w:eastAsia="Calibri"/>
          <w:sz w:val="28"/>
          <w:szCs w:val="28"/>
        </w:rPr>
      </w:pPr>
    </w:p>
    <w:p w14:paraId="328E3962" w14:textId="153C403E" w:rsidR="00784863" w:rsidRPr="0037645F" w:rsidRDefault="00784863" w:rsidP="00A26BB3">
      <w:pPr>
        <w:jc w:val="center"/>
        <w:rPr>
          <w:rFonts w:eastAsia="Calibri"/>
          <w:sz w:val="28"/>
          <w:szCs w:val="28"/>
        </w:rPr>
      </w:pPr>
    </w:p>
    <w:p w14:paraId="4379439E" w14:textId="1E23EDFA" w:rsidR="00784863" w:rsidRPr="0037645F" w:rsidRDefault="00784863" w:rsidP="00A26BB3">
      <w:pPr>
        <w:jc w:val="center"/>
        <w:rPr>
          <w:rFonts w:eastAsia="Calibri"/>
          <w:sz w:val="28"/>
          <w:szCs w:val="28"/>
        </w:rPr>
      </w:pPr>
    </w:p>
    <w:p w14:paraId="636D40AC" w14:textId="7156F0CE" w:rsidR="00784863" w:rsidRPr="0037645F" w:rsidRDefault="00784863" w:rsidP="00A26BB3">
      <w:pPr>
        <w:jc w:val="center"/>
        <w:rPr>
          <w:rFonts w:eastAsia="Calibri"/>
          <w:sz w:val="28"/>
          <w:szCs w:val="28"/>
        </w:rPr>
      </w:pPr>
    </w:p>
    <w:p w14:paraId="2F610560" w14:textId="3817F523" w:rsidR="00784863" w:rsidRPr="0037645F" w:rsidRDefault="00784863" w:rsidP="00A26BB3">
      <w:pPr>
        <w:jc w:val="center"/>
        <w:rPr>
          <w:rFonts w:eastAsia="Calibri"/>
          <w:sz w:val="28"/>
          <w:szCs w:val="28"/>
        </w:rPr>
      </w:pPr>
    </w:p>
    <w:p w14:paraId="0A242193" w14:textId="77777777" w:rsidR="00784863" w:rsidRPr="0037645F" w:rsidRDefault="00784863" w:rsidP="00A26BB3">
      <w:pPr>
        <w:jc w:val="center"/>
        <w:rPr>
          <w:rFonts w:eastAsia="Calibri"/>
          <w:sz w:val="28"/>
          <w:szCs w:val="28"/>
        </w:rPr>
      </w:pPr>
    </w:p>
    <w:p w14:paraId="38CDA543" w14:textId="77777777" w:rsidR="00B86005" w:rsidRPr="0037645F" w:rsidRDefault="00B86005" w:rsidP="00A26BB3">
      <w:pPr>
        <w:jc w:val="center"/>
        <w:rPr>
          <w:rFonts w:eastAsia="Calibri"/>
          <w:sz w:val="28"/>
          <w:szCs w:val="28"/>
        </w:rPr>
      </w:pPr>
    </w:p>
    <w:p w14:paraId="5D7BCECA" w14:textId="77777777" w:rsidR="00B86005" w:rsidRPr="0037645F" w:rsidRDefault="00B86005" w:rsidP="00A26BB3">
      <w:pPr>
        <w:jc w:val="center"/>
        <w:rPr>
          <w:rFonts w:eastAsia="Calibri"/>
          <w:sz w:val="28"/>
          <w:szCs w:val="28"/>
        </w:rPr>
      </w:pPr>
    </w:p>
    <w:p w14:paraId="621FA0CC" w14:textId="77777777" w:rsidR="00B86005" w:rsidRPr="0037645F" w:rsidRDefault="00B86005" w:rsidP="00A26BB3">
      <w:pPr>
        <w:jc w:val="center"/>
        <w:rPr>
          <w:rFonts w:eastAsia="Calibri"/>
          <w:sz w:val="28"/>
          <w:szCs w:val="28"/>
        </w:rPr>
      </w:pPr>
    </w:p>
    <w:p w14:paraId="1F9A4B1F" w14:textId="77777777" w:rsidR="00784863" w:rsidRPr="0037645F" w:rsidRDefault="00784863" w:rsidP="00784863">
      <w:pPr>
        <w:pStyle w:val="rvps2"/>
        <w:shd w:val="clear" w:color="auto" w:fill="FFFFFF"/>
        <w:tabs>
          <w:tab w:val="left" w:pos="887"/>
        </w:tabs>
        <w:spacing w:before="0" w:beforeAutospacing="0" w:after="0" w:afterAutospacing="0" w:line="240" w:lineRule="auto"/>
        <w:ind w:left="5400"/>
        <w:textAlignment w:val="baseline"/>
        <w:rPr>
          <w:rStyle w:val="FontStyle"/>
          <w:b/>
          <w:sz w:val="28"/>
          <w:szCs w:val="28"/>
        </w:rPr>
      </w:pPr>
      <w:r w:rsidRPr="0037645F">
        <w:rPr>
          <w:rStyle w:val="FontStyle"/>
          <w:b/>
          <w:sz w:val="28"/>
          <w:szCs w:val="28"/>
        </w:rPr>
        <w:t>Комітет з питань податкової та митної політики</w:t>
      </w:r>
    </w:p>
    <w:p w14:paraId="2304A90B" w14:textId="77777777" w:rsidR="00B86005" w:rsidRPr="0037645F" w:rsidRDefault="00B86005" w:rsidP="00A26BB3">
      <w:pPr>
        <w:jc w:val="center"/>
        <w:rPr>
          <w:rFonts w:eastAsia="Calibri"/>
          <w:sz w:val="28"/>
          <w:szCs w:val="28"/>
        </w:rPr>
      </w:pPr>
    </w:p>
    <w:p w14:paraId="1AD00D67" w14:textId="77777777" w:rsidR="00B86005" w:rsidRPr="0037645F" w:rsidRDefault="00B86005" w:rsidP="00A26BB3">
      <w:pPr>
        <w:jc w:val="center"/>
        <w:rPr>
          <w:rFonts w:eastAsia="Calibri"/>
          <w:sz w:val="28"/>
          <w:szCs w:val="28"/>
        </w:rPr>
      </w:pPr>
    </w:p>
    <w:p w14:paraId="616AB5AA" w14:textId="77777777" w:rsidR="00784863" w:rsidRPr="00B95517" w:rsidRDefault="00784863" w:rsidP="005F384C">
      <w:pPr>
        <w:jc w:val="center"/>
        <w:rPr>
          <w:rFonts w:eastAsia="Calibri"/>
          <w:sz w:val="28"/>
          <w:szCs w:val="28"/>
        </w:rPr>
      </w:pPr>
    </w:p>
    <w:p w14:paraId="10D5F8A6" w14:textId="77777777" w:rsidR="005F384C" w:rsidRPr="005F384C" w:rsidRDefault="005F384C" w:rsidP="005F384C">
      <w:pPr>
        <w:ind w:firstLine="708"/>
        <w:jc w:val="center"/>
        <w:rPr>
          <w:color w:val="000000"/>
          <w:sz w:val="28"/>
          <w:szCs w:val="28"/>
          <w:lang w:eastAsia="en-US"/>
        </w:rPr>
      </w:pPr>
      <w:r w:rsidRPr="005F384C">
        <w:rPr>
          <w:color w:val="000000"/>
          <w:sz w:val="28"/>
          <w:szCs w:val="28"/>
          <w:lang w:eastAsia="en-US"/>
        </w:rPr>
        <w:t>ВИСНОВОК</w:t>
      </w:r>
    </w:p>
    <w:p w14:paraId="7BB0B405" w14:textId="77777777" w:rsidR="005F384C" w:rsidRPr="005F384C" w:rsidRDefault="005F384C" w:rsidP="005F384C">
      <w:pPr>
        <w:ind w:firstLine="708"/>
        <w:jc w:val="center"/>
        <w:rPr>
          <w:color w:val="000000"/>
          <w:sz w:val="28"/>
          <w:szCs w:val="28"/>
          <w:lang w:eastAsia="en-US"/>
        </w:rPr>
      </w:pPr>
      <w:r w:rsidRPr="005F384C">
        <w:rPr>
          <w:color w:val="000000"/>
          <w:sz w:val="28"/>
          <w:szCs w:val="28"/>
          <w:lang w:eastAsia="en-US"/>
        </w:rPr>
        <w:t>Комітету Верховної Ради України з питань європейської інтеграції</w:t>
      </w:r>
    </w:p>
    <w:p w14:paraId="44F71B1A" w14:textId="77777777" w:rsidR="005F384C" w:rsidRPr="005F384C" w:rsidRDefault="005F384C" w:rsidP="005F384C">
      <w:pPr>
        <w:ind w:firstLine="708"/>
        <w:jc w:val="center"/>
        <w:rPr>
          <w:color w:val="000000"/>
          <w:sz w:val="28"/>
          <w:szCs w:val="28"/>
          <w:lang w:eastAsia="en-US"/>
        </w:rPr>
      </w:pPr>
      <w:r w:rsidRPr="005F384C">
        <w:rPr>
          <w:color w:val="000000"/>
          <w:sz w:val="28"/>
          <w:szCs w:val="28"/>
          <w:lang w:eastAsia="en-US"/>
        </w:rPr>
        <w:t>щодо проекту Закону України</w:t>
      </w:r>
    </w:p>
    <w:p w14:paraId="56D794E1" w14:textId="56145072" w:rsidR="005F384C" w:rsidRPr="005F384C" w:rsidRDefault="005F384C" w:rsidP="005F384C">
      <w:pPr>
        <w:ind w:firstLine="708"/>
        <w:jc w:val="center"/>
        <w:rPr>
          <w:color w:val="000000"/>
          <w:sz w:val="28"/>
          <w:szCs w:val="28"/>
          <w:lang w:eastAsia="en-US"/>
        </w:rPr>
      </w:pPr>
      <w:r w:rsidRPr="005F384C">
        <w:rPr>
          <w:color w:val="000000"/>
          <w:sz w:val="28"/>
          <w:szCs w:val="28"/>
          <w:lang w:eastAsia="en-US"/>
        </w:rPr>
        <w:t>«</w:t>
      </w:r>
      <w:r>
        <w:rPr>
          <w:color w:val="000000"/>
          <w:sz w:val="28"/>
          <w:szCs w:val="28"/>
          <w:lang w:eastAsia="en-US"/>
        </w:rPr>
        <w:t>П</w:t>
      </w:r>
      <w:bookmarkStart w:id="0" w:name="_GoBack"/>
      <w:bookmarkEnd w:id="0"/>
      <w:r w:rsidRPr="005F384C">
        <w:rPr>
          <w:color w:val="000000"/>
          <w:sz w:val="28"/>
          <w:szCs w:val="28"/>
          <w:lang w:eastAsia="en-US"/>
        </w:rPr>
        <w:t>ро внесення змін до Податкового кодексу України щодо звільнення від оподаткування деяких лікарських засобів»</w:t>
      </w:r>
    </w:p>
    <w:p w14:paraId="27774CD0" w14:textId="77777777" w:rsidR="005F384C" w:rsidRPr="005F384C" w:rsidRDefault="005F384C" w:rsidP="005F384C">
      <w:pPr>
        <w:ind w:firstLine="708"/>
        <w:jc w:val="center"/>
        <w:rPr>
          <w:color w:val="000000"/>
          <w:sz w:val="28"/>
          <w:szCs w:val="28"/>
          <w:lang w:eastAsia="en-US"/>
        </w:rPr>
      </w:pPr>
      <w:r w:rsidRPr="005F384C">
        <w:rPr>
          <w:color w:val="000000"/>
          <w:sz w:val="28"/>
          <w:szCs w:val="28"/>
          <w:lang w:eastAsia="en-US"/>
        </w:rPr>
        <w:t>(р. № 9445, н.д. В.Сюмар)</w:t>
      </w:r>
    </w:p>
    <w:p w14:paraId="26CA8F92" w14:textId="77777777" w:rsidR="005F384C" w:rsidRPr="005F384C" w:rsidRDefault="005F384C" w:rsidP="005F384C">
      <w:pPr>
        <w:ind w:firstLine="708"/>
        <w:jc w:val="both"/>
        <w:rPr>
          <w:color w:val="000000"/>
          <w:sz w:val="28"/>
          <w:szCs w:val="28"/>
          <w:lang w:eastAsia="en-US"/>
        </w:rPr>
      </w:pPr>
    </w:p>
    <w:p w14:paraId="43F29CDF" w14:textId="568FAC9E" w:rsidR="005F384C" w:rsidRPr="005F384C" w:rsidRDefault="005F384C" w:rsidP="005F384C">
      <w:pPr>
        <w:ind w:firstLine="708"/>
        <w:jc w:val="both"/>
        <w:rPr>
          <w:color w:val="000000"/>
          <w:sz w:val="28"/>
          <w:szCs w:val="28"/>
          <w:lang w:eastAsia="en-US"/>
        </w:rPr>
      </w:pPr>
      <w:r w:rsidRPr="005F384C">
        <w:rPr>
          <w:color w:val="000000"/>
          <w:sz w:val="28"/>
          <w:szCs w:val="28"/>
          <w:lang w:eastAsia="en-US"/>
        </w:rPr>
        <w:t>Законопроектом пропонується внести зміни до Податкового кодексу України, які передбачатимуть звільнення від оподаткування ПДВ операцій з ввезення на митну територію України відповідно до порядку, визначеного центральним органом виконавчої влади, що забезпечує формування державної політики у сфері охорони здоров’я, незареєстрованих лікарських засобів для лікування рідкісних (орфанних) захворювань чи для індивідуального використання громадянами.</w:t>
      </w:r>
    </w:p>
    <w:p w14:paraId="4D78DFC4" w14:textId="60DE0D0D" w:rsidR="005F384C" w:rsidRPr="005F384C" w:rsidRDefault="005F384C" w:rsidP="005F384C">
      <w:pPr>
        <w:ind w:firstLine="708"/>
        <w:jc w:val="both"/>
        <w:rPr>
          <w:color w:val="000000"/>
          <w:sz w:val="28"/>
          <w:szCs w:val="28"/>
          <w:lang w:eastAsia="en-US"/>
        </w:rPr>
      </w:pPr>
      <w:r w:rsidRPr="005F384C">
        <w:rPr>
          <w:color w:val="000000"/>
          <w:sz w:val="28"/>
          <w:szCs w:val="28"/>
          <w:lang w:eastAsia="en-US"/>
        </w:rPr>
        <w:t>Проект Закону належить до сфер конкуренції та податків, включаючи непрямі, які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1629-IV належать до пріоритетних сфер, в яких здійснюється адаптація законодавства України до законодавства Європейського Союзу.</w:t>
      </w:r>
    </w:p>
    <w:p w14:paraId="312D4A5B" w14:textId="77777777" w:rsidR="005F384C" w:rsidRPr="005F384C" w:rsidRDefault="005F384C" w:rsidP="005F384C">
      <w:pPr>
        <w:ind w:firstLine="708"/>
        <w:jc w:val="both"/>
        <w:rPr>
          <w:color w:val="000000"/>
          <w:sz w:val="28"/>
          <w:szCs w:val="28"/>
          <w:lang w:eastAsia="en-US"/>
        </w:rPr>
      </w:pPr>
      <w:r w:rsidRPr="005F384C">
        <w:rPr>
          <w:color w:val="000000"/>
          <w:sz w:val="28"/>
          <w:szCs w:val="28"/>
          <w:lang w:eastAsia="en-US"/>
        </w:rPr>
        <w:t xml:space="preserve">В Європейському Союзі питання, що належать до сфери правового регулювання проекту Закону, регулюються: </w:t>
      </w:r>
    </w:p>
    <w:p w14:paraId="318A4AF8" w14:textId="77777777" w:rsidR="005F384C" w:rsidRPr="005F384C" w:rsidRDefault="005F384C" w:rsidP="005F384C">
      <w:pPr>
        <w:ind w:firstLine="708"/>
        <w:jc w:val="both"/>
        <w:rPr>
          <w:color w:val="000000"/>
          <w:sz w:val="28"/>
          <w:szCs w:val="28"/>
          <w:lang w:eastAsia="en-US"/>
        </w:rPr>
      </w:pPr>
      <w:r w:rsidRPr="005F384C">
        <w:rPr>
          <w:color w:val="000000"/>
          <w:sz w:val="28"/>
          <w:szCs w:val="28"/>
          <w:lang w:eastAsia="en-US"/>
        </w:rPr>
        <w:t>1.</w:t>
      </w:r>
      <w:r w:rsidRPr="005F384C">
        <w:rPr>
          <w:color w:val="000000"/>
          <w:sz w:val="28"/>
          <w:szCs w:val="28"/>
          <w:lang w:eastAsia="en-US"/>
        </w:rPr>
        <w:tab/>
        <w:t>Директивою Ради № 2006/112/ЄЕС про спільну систему податку на додану вартість від 28 листопада 2006 року (Official Journal L 347, 11.12.2006, p.1) (далі-Директива № 2006/112/ЄЕС);</w:t>
      </w:r>
    </w:p>
    <w:p w14:paraId="216AD1A1" w14:textId="77777777" w:rsidR="005F384C" w:rsidRPr="005F384C" w:rsidRDefault="005F384C" w:rsidP="005F384C">
      <w:pPr>
        <w:ind w:firstLine="708"/>
        <w:jc w:val="both"/>
        <w:rPr>
          <w:color w:val="000000"/>
          <w:sz w:val="28"/>
          <w:szCs w:val="28"/>
          <w:lang w:eastAsia="en-US"/>
        </w:rPr>
      </w:pPr>
      <w:r w:rsidRPr="005F384C">
        <w:rPr>
          <w:color w:val="000000"/>
          <w:sz w:val="28"/>
          <w:szCs w:val="28"/>
          <w:lang w:eastAsia="en-US"/>
        </w:rPr>
        <w:t>2.</w:t>
      </w:r>
      <w:r w:rsidRPr="005F384C">
        <w:rPr>
          <w:color w:val="000000"/>
          <w:sz w:val="28"/>
          <w:szCs w:val="28"/>
          <w:lang w:eastAsia="en-US"/>
        </w:rPr>
        <w:tab/>
        <w:t>Директивою Ради № 2007/74/ЄС від 20.12.2007 року про звільнення від податку на додану вартість і мита на товари, що ввозяться особами, які подорожують з третіх країн;</w:t>
      </w:r>
    </w:p>
    <w:p w14:paraId="19F8D68C" w14:textId="77777777" w:rsidR="005F384C" w:rsidRPr="005F384C" w:rsidRDefault="005F384C" w:rsidP="005F384C">
      <w:pPr>
        <w:ind w:firstLine="708"/>
        <w:jc w:val="both"/>
        <w:rPr>
          <w:color w:val="000000"/>
          <w:sz w:val="28"/>
          <w:szCs w:val="28"/>
          <w:lang w:eastAsia="en-US"/>
        </w:rPr>
      </w:pPr>
      <w:r w:rsidRPr="005F384C">
        <w:rPr>
          <w:color w:val="000000"/>
          <w:sz w:val="28"/>
          <w:szCs w:val="28"/>
          <w:lang w:eastAsia="en-US"/>
        </w:rPr>
        <w:t>3.</w:t>
      </w:r>
      <w:r w:rsidRPr="005F384C">
        <w:rPr>
          <w:color w:val="000000"/>
          <w:sz w:val="28"/>
          <w:szCs w:val="28"/>
          <w:lang w:eastAsia="en-US"/>
        </w:rPr>
        <w:tab/>
        <w:t>Директивою Ради 2009/132/EC, яка визначає сферу застосування статті 143 (пунктів «b» «c») Директиви 2006/112/ЄС щодо звільнення від податку на додану вартість на кінцевий імпорт певних товарів.</w:t>
      </w:r>
    </w:p>
    <w:p w14:paraId="7A4B7027" w14:textId="77777777" w:rsidR="005F384C" w:rsidRPr="005F384C" w:rsidRDefault="005F384C" w:rsidP="005F384C">
      <w:pPr>
        <w:ind w:firstLine="708"/>
        <w:jc w:val="both"/>
        <w:rPr>
          <w:color w:val="000000"/>
          <w:sz w:val="28"/>
          <w:szCs w:val="28"/>
          <w:lang w:eastAsia="en-US"/>
        </w:rPr>
      </w:pPr>
      <w:r w:rsidRPr="005F384C">
        <w:rPr>
          <w:color w:val="000000"/>
          <w:sz w:val="28"/>
          <w:szCs w:val="28"/>
          <w:lang w:eastAsia="en-US"/>
        </w:rPr>
        <w:lastRenderedPageBreak/>
        <w:t xml:space="preserve">За предметом правового регулювання положення законопроекту належать до Додатку 28 до Глави 4 «Оподаткування» Розділу V «Економічне і галузеве співробітництво» України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відповідно до якого положення Директиви Ради ЄС № 2006/112/ЄС від 28.11.2006 року про спільну систему податку на додану вартість повинні були імплементовані  протягом 5 років з дати набрання чинності Угоди. </w:t>
      </w:r>
    </w:p>
    <w:p w14:paraId="3B1A8A52" w14:textId="77777777" w:rsidR="005F384C" w:rsidRPr="005F384C" w:rsidRDefault="005F384C" w:rsidP="005F384C">
      <w:pPr>
        <w:ind w:firstLine="708"/>
        <w:jc w:val="both"/>
        <w:rPr>
          <w:color w:val="000000"/>
          <w:sz w:val="28"/>
          <w:szCs w:val="28"/>
          <w:lang w:eastAsia="en-US"/>
        </w:rPr>
      </w:pPr>
      <w:r w:rsidRPr="005F384C">
        <w:rPr>
          <w:color w:val="000000"/>
          <w:sz w:val="28"/>
          <w:szCs w:val="28"/>
          <w:lang w:eastAsia="en-US"/>
        </w:rPr>
        <w:t>Звільнення від оподаткування операцій з ввезення на митну територію України лікарських засобів для індивідуального використання громадянами не суперечить праву ЄС та відповідає директиві 2007/74/ЄС від 20.12.2007 року про звільнення від податку на додану вартість і мита на товари, що ввозяться особами, які подорожують з третіх країн. Щодо інших положень законопроекту вважаємо за необхідне зазначити наступне.</w:t>
      </w:r>
    </w:p>
    <w:p w14:paraId="043932E6" w14:textId="77777777" w:rsidR="005F384C" w:rsidRPr="005F384C" w:rsidRDefault="005F384C" w:rsidP="005F384C">
      <w:pPr>
        <w:ind w:firstLine="708"/>
        <w:jc w:val="both"/>
        <w:rPr>
          <w:color w:val="000000"/>
          <w:sz w:val="28"/>
          <w:szCs w:val="28"/>
          <w:lang w:eastAsia="en-US"/>
        </w:rPr>
      </w:pPr>
      <w:r w:rsidRPr="005F384C">
        <w:rPr>
          <w:color w:val="000000"/>
          <w:sz w:val="28"/>
          <w:szCs w:val="28"/>
          <w:lang w:eastAsia="en-US"/>
        </w:rPr>
        <w:t>Відповідно до законодавства Європейського Союзу базова ставка ПДВ для країн ЄС становить не менше 15%. Однак, відповідно до частини першої статті 99 вони також можуть застосовувати одну або дві знижені ставки для конкретних товарів або послуг, зазначених у Додатку III до цієї директиви. Така знижена ставка, відповідно до Додатку ІІІ поширюється і на фармацевтичні продукти, які зазвичай використовуються для охорони здоров'я, профілактики хвороб і лікування в медичних і ветеринарних цілях, включаючи продукти, що використовуються для контрацепції та санітарного захисту;</w:t>
      </w:r>
    </w:p>
    <w:p w14:paraId="2162637E" w14:textId="77777777" w:rsidR="005F384C" w:rsidRPr="005F384C" w:rsidRDefault="005F384C" w:rsidP="005F384C">
      <w:pPr>
        <w:ind w:firstLine="708"/>
        <w:jc w:val="both"/>
        <w:rPr>
          <w:color w:val="000000"/>
          <w:sz w:val="28"/>
          <w:szCs w:val="28"/>
          <w:lang w:eastAsia="en-US"/>
        </w:rPr>
      </w:pPr>
      <w:r w:rsidRPr="005F384C">
        <w:rPr>
          <w:color w:val="000000"/>
          <w:sz w:val="28"/>
          <w:szCs w:val="28"/>
          <w:lang w:eastAsia="en-US"/>
        </w:rPr>
        <w:t>Статтею 143 директиви також передбачається можливість звільнення від податку на додану вартість на кінцевий імпорт певних товарів, які визначаються Директивою 2009/132/EC. Так, розділом 6 цієї директиви дозволяється звільняти від оподаткування ПДВ при ввезенні лабораторні тварини та біологічні або хімічні речовини призначені для досліджень, лікарські речовини людського походження та реагенти для встановлення групи крові та типів тканин, еталонні речовини для контролю якості медичної продукції, фармацевтичні засоби, які використовуються у міжнародних спортивних змаганнях. При цьому звільнення, обмежується тваринами та біологічними або хімічними речовинами, які призначені для державних установ, основна діяльність яких знаходиться у сфері освіти або наукових досліджень, включаючи ті відділи цих державних установ, основна діяльність яких знаходиться у сфері освіти або наукових досліджень, а також приватних установ, основна діяльність яких знаходиться у сфері освіти або наукових досліджень, та які уповноважені компетентними органами держав-членів отримувати такі речі зі звільненням від оподаткування. Таким чином можна дійти до висновку що положення законопроекту частково не відповідають законодавству Європейського Союзу, оскільки законопроектом передбачається звільнення від оподаткування для всіх суб’єктів господарської діяльності.</w:t>
      </w:r>
    </w:p>
    <w:p w14:paraId="0CF12A30" w14:textId="4A547FE2" w:rsidR="00FC68E8" w:rsidRPr="0037645F" w:rsidRDefault="00FC68E8" w:rsidP="00FC68E8">
      <w:pPr>
        <w:ind w:firstLine="708"/>
        <w:jc w:val="both"/>
        <w:rPr>
          <w:bCs/>
          <w:sz w:val="28"/>
          <w:szCs w:val="28"/>
        </w:rPr>
      </w:pPr>
      <w:r w:rsidRPr="0037645F">
        <w:rPr>
          <w:bCs/>
          <w:sz w:val="28"/>
          <w:szCs w:val="28"/>
        </w:rPr>
        <w:t xml:space="preserve"> </w:t>
      </w:r>
    </w:p>
    <w:p w14:paraId="422F8CC1" w14:textId="6A31EC75" w:rsidR="00B86005" w:rsidRPr="0037645F" w:rsidRDefault="00B86005" w:rsidP="00BC38A6">
      <w:pPr>
        <w:ind w:firstLine="708"/>
        <w:jc w:val="both"/>
        <w:rPr>
          <w:b/>
          <w:spacing w:val="-1"/>
          <w:sz w:val="28"/>
          <w:szCs w:val="28"/>
        </w:rPr>
      </w:pPr>
      <w:r w:rsidRPr="0037645F">
        <w:rPr>
          <w:b/>
          <w:spacing w:val="-1"/>
          <w:sz w:val="28"/>
          <w:szCs w:val="28"/>
        </w:rPr>
        <w:t>Заступник голови Комітету</w:t>
      </w:r>
    </w:p>
    <w:p w14:paraId="2CCDF8BD" w14:textId="22F782F7" w:rsidR="00B86005" w:rsidRPr="0037645F" w:rsidRDefault="00B86005" w:rsidP="00B86005">
      <w:pPr>
        <w:pStyle w:val="m5421948172330001328gmail-msonormal"/>
        <w:shd w:val="clear" w:color="auto" w:fill="FFFFFF"/>
        <w:spacing w:before="0" w:beforeAutospacing="0" w:after="0" w:afterAutospacing="0"/>
        <w:ind w:firstLine="709"/>
        <w:jc w:val="both"/>
        <w:rPr>
          <w:b/>
          <w:spacing w:val="-1"/>
          <w:sz w:val="28"/>
          <w:szCs w:val="28"/>
        </w:rPr>
      </w:pPr>
      <w:r w:rsidRPr="0037645F">
        <w:rPr>
          <w:b/>
          <w:spacing w:val="-1"/>
          <w:sz w:val="28"/>
          <w:szCs w:val="28"/>
        </w:rPr>
        <w:t>з питань європейської інтеграції</w:t>
      </w:r>
      <w:r w:rsidRPr="0037645F">
        <w:rPr>
          <w:b/>
          <w:spacing w:val="-1"/>
          <w:sz w:val="28"/>
          <w:szCs w:val="28"/>
        </w:rPr>
        <w:tab/>
      </w:r>
      <w:r w:rsidRPr="0037645F">
        <w:rPr>
          <w:b/>
          <w:spacing w:val="-1"/>
          <w:sz w:val="28"/>
          <w:szCs w:val="28"/>
        </w:rPr>
        <w:tab/>
      </w:r>
      <w:r w:rsidRPr="0037645F">
        <w:rPr>
          <w:b/>
          <w:spacing w:val="-1"/>
          <w:sz w:val="28"/>
          <w:szCs w:val="28"/>
        </w:rPr>
        <w:tab/>
      </w:r>
      <w:r w:rsidRPr="0037645F">
        <w:rPr>
          <w:b/>
          <w:spacing w:val="-1"/>
          <w:sz w:val="28"/>
          <w:szCs w:val="28"/>
        </w:rPr>
        <w:tab/>
      </w:r>
      <w:r w:rsidRPr="0037645F">
        <w:rPr>
          <w:b/>
          <w:spacing w:val="-1"/>
          <w:sz w:val="28"/>
          <w:szCs w:val="28"/>
        </w:rPr>
        <w:tab/>
        <w:t>М.ІОНОВА</w:t>
      </w:r>
    </w:p>
    <w:sectPr w:rsidR="00B86005" w:rsidRPr="0037645F" w:rsidSect="00D600A5">
      <w:pgSz w:w="11906" w:h="16838"/>
      <w:pgMar w:top="993" w:right="707" w:bottom="85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B0E806" w14:textId="77777777" w:rsidR="004A6B43" w:rsidRDefault="004A6B43" w:rsidP="00A26BB3">
      <w:r>
        <w:separator/>
      </w:r>
    </w:p>
  </w:endnote>
  <w:endnote w:type="continuationSeparator" w:id="0">
    <w:p w14:paraId="1691E45B" w14:textId="77777777" w:rsidR="004A6B43" w:rsidRDefault="004A6B43" w:rsidP="00A26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65EBB" w14:textId="77777777" w:rsidR="004A6B43" w:rsidRDefault="004A6B43" w:rsidP="00A26BB3">
      <w:r>
        <w:separator/>
      </w:r>
    </w:p>
  </w:footnote>
  <w:footnote w:type="continuationSeparator" w:id="0">
    <w:p w14:paraId="6317634B" w14:textId="77777777" w:rsidR="004A6B43" w:rsidRDefault="004A6B43" w:rsidP="00A26B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EB31FF"/>
    <w:multiLevelType w:val="hybridMultilevel"/>
    <w:tmpl w:val="D65036A8"/>
    <w:lvl w:ilvl="0" w:tplc="6F0242A2">
      <w:start w:val="1"/>
      <w:numFmt w:val="decimal"/>
      <w:lvlText w:val="%1."/>
      <w:lvlJc w:val="left"/>
      <w:pPr>
        <w:ind w:left="4046"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1FC"/>
    <w:rsid w:val="00047F80"/>
    <w:rsid w:val="00050883"/>
    <w:rsid w:val="000540E9"/>
    <w:rsid w:val="00096432"/>
    <w:rsid w:val="000A7B75"/>
    <w:rsid w:val="000D5D63"/>
    <w:rsid w:val="000F2C97"/>
    <w:rsid w:val="000F37B2"/>
    <w:rsid w:val="001021FC"/>
    <w:rsid w:val="00111E6F"/>
    <w:rsid w:val="00133FE8"/>
    <w:rsid w:val="001550A3"/>
    <w:rsid w:val="001F02AC"/>
    <w:rsid w:val="00250D4D"/>
    <w:rsid w:val="00273ECE"/>
    <w:rsid w:val="002D60F1"/>
    <w:rsid w:val="002E249F"/>
    <w:rsid w:val="0037645F"/>
    <w:rsid w:val="003B56F1"/>
    <w:rsid w:val="003C0CC8"/>
    <w:rsid w:val="003C63E0"/>
    <w:rsid w:val="003E07C5"/>
    <w:rsid w:val="00474887"/>
    <w:rsid w:val="00485490"/>
    <w:rsid w:val="004A6B43"/>
    <w:rsid w:val="004C3601"/>
    <w:rsid w:val="004E0A87"/>
    <w:rsid w:val="004F5879"/>
    <w:rsid w:val="00516B5B"/>
    <w:rsid w:val="00543CF4"/>
    <w:rsid w:val="00595A9F"/>
    <w:rsid w:val="005F384C"/>
    <w:rsid w:val="005F40D5"/>
    <w:rsid w:val="0061178C"/>
    <w:rsid w:val="0063797B"/>
    <w:rsid w:val="006520A0"/>
    <w:rsid w:val="00666E11"/>
    <w:rsid w:val="00673CB8"/>
    <w:rsid w:val="00682024"/>
    <w:rsid w:val="00685500"/>
    <w:rsid w:val="00690E6E"/>
    <w:rsid w:val="006A5165"/>
    <w:rsid w:val="00717D1E"/>
    <w:rsid w:val="00742695"/>
    <w:rsid w:val="00753197"/>
    <w:rsid w:val="00784863"/>
    <w:rsid w:val="007C199E"/>
    <w:rsid w:val="007C1BBD"/>
    <w:rsid w:val="007C2680"/>
    <w:rsid w:val="007C5A05"/>
    <w:rsid w:val="007F26E4"/>
    <w:rsid w:val="008016CA"/>
    <w:rsid w:val="00823763"/>
    <w:rsid w:val="00824276"/>
    <w:rsid w:val="0085459D"/>
    <w:rsid w:val="008F0B64"/>
    <w:rsid w:val="008F4FEF"/>
    <w:rsid w:val="0090140E"/>
    <w:rsid w:val="009438EE"/>
    <w:rsid w:val="00944DCA"/>
    <w:rsid w:val="009839BB"/>
    <w:rsid w:val="009977DF"/>
    <w:rsid w:val="009C4361"/>
    <w:rsid w:val="00A17738"/>
    <w:rsid w:val="00A26BB3"/>
    <w:rsid w:val="00A57121"/>
    <w:rsid w:val="00A66CF2"/>
    <w:rsid w:val="00A96420"/>
    <w:rsid w:val="00B146B3"/>
    <w:rsid w:val="00B25777"/>
    <w:rsid w:val="00B36B81"/>
    <w:rsid w:val="00B75071"/>
    <w:rsid w:val="00B753AB"/>
    <w:rsid w:val="00B86005"/>
    <w:rsid w:val="00B93A96"/>
    <w:rsid w:val="00B943D5"/>
    <w:rsid w:val="00B95517"/>
    <w:rsid w:val="00BA7239"/>
    <w:rsid w:val="00BC38A6"/>
    <w:rsid w:val="00BF6035"/>
    <w:rsid w:val="00C05F81"/>
    <w:rsid w:val="00C17E9D"/>
    <w:rsid w:val="00C815A3"/>
    <w:rsid w:val="00CB26CC"/>
    <w:rsid w:val="00CD55BA"/>
    <w:rsid w:val="00D3171B"/>
    <w:rsid w:val="00D327AB"/>
    <w:rsid w:val="00D600A5"/>
    <w:rsid w:val="00D86B5F"/>
    <w:rsid w:val="00DC36FE"/>
    <w:rsid w:val="00E45E21"/>
    <w:rsid w:val="00E46A9D"/>
    <w:rsid w:val="00E5478C"/>
    <w:rsid w:val="00E97C22"/>
    <w:rsid w:val="00EA0BA8"/>
    <w:rsid w:val="00EA4B03"/>
    <w:rsid w:val="00EA72E8"/>
    <w:rsid w:val="00EB63E8"/>
    <w:rsid w:val="00EC2742"/>
    <w:rsid w:val="00EE242C"/>
    <w:rsid w:val="00EF176C"/>
    <w:rsid w:val="00F1089C"/>
    <w:rsid w:val="00F251F5"/>
    <w:rsid w:val="00F56466"/>
    <w:rsid w:val="00F91C71"/>
    <w:rsid w:val="00FC165C"/>
    <w:rsid w:val="00FC68E8"/>
    <w:rsid w:val="00FD34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447C5"/>
  <w15:chartTrackingRefBased/>
  <w15:docId w15:val="{5082E787-BCE5-48F4-85F2-571D263FA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6BB3"/>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link w:val="30"/>
    <w:uiPriority w:val="9"/>
    <w:qFormat/>
    <w:rsid w:val="00050883"/>
    <w:pPr>
      <w:overflowPunct/>
      <w:autoSpaceDE/>
      <w:autoSpaceDN/>
      <w:adjustRightInd/>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26BB3"/>
  </w:style>
  <w:style w:type="character" w:customStyle="1" w:styleId="a4">
    <w:name w:val="Текст виноски Знак"/>
    <w:basedOn w:val="a0"/>
    <w:link w:val="a3"/>
    <w:uiPriority w:val="99"/>
    <w:semiHidden/>
    <w:rsid w:val="00A26BB3"/>
    <w:rPr>
      <w:rFonts w:ascii="Times New Roman" w:eastAsia="Times New Roman" w:hAnsi="Times New Roman" w:cs="Times New Roman"/>
      <w:sz w:val="20"/>
      <w:szCs w:val="20"/>
      <w:lang w:val="ru-RU" w:eastAsia="ru-RU"/>
    </w:rPr>
  </w:style>
  <w:style w:type="character" w:styleId="a5">
    <w:name w:val="footnote reference"/>
    <w:semiHidden/>
    <w:unhideWhenUsed/>
    <w:rsid w:val="00A26BB3"/>
    <w:rPr>
      <w:vertAlign w:val="superscript"/>
    </w:rPr>
  </w:style>
  <w:style w:type="character" w:customStyle="1" w:styleId="30">
    <w:name w:val="Заголовок 3 Знак"/>
    <w:basedOn w:val="a0"/>
    <w:link w:val="3"/>
    <w:uiPriority w:val="9"/>
    <w:rsid w:val="00050883"/>
    <w:rPr>
      <w:rFonts w:ascii="Times New Roman" w:eastAsia="Times New Roman" w:hAnsi="Times New Roman" w:cs="Times New Roman"/>
      <w:b/>
      <w:bCs/>
      <w:sz w:val="27"/>
      <w:szCs w:val="27"/>
      <w:lang w:eastAsia="uk-UA"/>
    </w:rPr>
  </w:style>
  <w:style w:type="character" w:styleId="a6">
    <w:name w:val="Hyperlink"/>
    <w:basedOn w:val="a0"/>
    <w:uiPriority w:val="99"/>
    <w:unhideWhenUsed/>
    <w:rsid w:val="00050883"/>
    <w:rPr>
      <w:color w:val="0000FF"/>
      <w:u w:val="single"/>
    </w:rPr>
  </w:style>
  <w:style w:type="paragraph" w:customStyle="1" w:styleId="1">
    <w:name w:val="Обычный1"/>
    <w:basedOn w:val="a"/>
    <w:rsid w:val="00D86B5F"/>
    <w:pPr>
      <w:overflowPunct/>
      <w:autoSpaceDE/>
      <w:autoSpaceDN/>
      <w:adjustRightInd/>
      <w:spacing w:before="100" w:beforeAutospacing="1" w:after="100" w:afterAutospacing="1"/>
    </w:pPr>
    <w:rPr>
      <w:sz w:val="24"/>
      <w:szCs w:val="24"/>
      <w:lang w:eastAsia="uk-UA"/>
    </w:rPr>
  </w:style>
  <w:style w:type="character" w:customStyle="1" w:styleId="super">
    <w:name w:val="super"/>
    <w:basedOn w:val="a0"/>
    <w:rsid w:val="00D86B5F"/>
  </w:style>
  <w:style w:type="paragraph" w:customStyle="1" w:styleId="ti-art">
    <w:name w:val="ti-art"/>
    <w:basedOn w:val="a"/>
    <w:rsid w:val="00673CB8"/>
    <w:pPr>
      <w:overflowPunct/>
      <w:autoSpaceDE/>
      <w:autoSpaceDN/>
      <w:adjustRightInd/>
      <w:spacing w:before="100" w:beforeAutospacing="1" w:after="100" w:afterAutospacing="1"/>
    </w:pPr>
    <w:rPr>
      <w:sz w:val="24"/>
      <w:szCs w:val="24"/>
      <w:lang w:eastAsia="uk-UA"/>
    </w:rPr>
  </w:style>
  <w:style w:type="paragraph" w:customStyle="1" w:styleId="sti-art">
    <w:name w:val="sti-art"/>
    <w:basedOn w:val="a"/>
    <w:rsid w:val="00673CB8"/>
    <w:pPr>
      <w:overflowPunct/>
      <w:autoSpaceDE/>
      <w:autoSpaceDN/>
      <w:adjustRightInd/>
      <w:spacing w:before="100" w:beforeAutospacing="1" w:after="100" w:afterAutospacing="1"/>
    </w:pPr>
    <w:rPr>
      <w:sz w:val="24"/>
      <w:szCs w:val="24"/>
      <w:lang w:eastAsia="uk-UA"/>
    </w:rPr>
  </w:style>
  <w:style w:type="paragraph" w:customStyle="1" w:styleId="ti-section-1">
    <w:name w:val="ti-section-1"/>
    <w:basedOn w:val="a"/>
    <w:rsid w:val="0063797B"/>
    <w:pPr>
      <w:overflowPunct/>
      <w:autoSpaceDE/>
      <w:autoSpaceDN/>
      <w:adjustRightInd/>
      <w:spacing w:before="100" w:beforeAutospacing="1" w:after="100" w:afterAutospacing="1"/>
    </w:pPr>
    <w:rPr>
      <w:sz w:val="24"/>
      <w:szCs w:val="24"/>
      <w:lang w:eastAsia="uk-UA"/>
    </w:rPr>
  </w:style>
  <w:style w:type="paragraph" w:customStyle="1" w:styleId="ti-section-2">
    <w:name w:val="ti-section-2"/>
    <w:basedOn w:val="a"/>
    <w:rsid w:val="0063797B"/>
    <w:pPr>
      <w:overflowPunct/>
      <w:autoSpaceDE/>
      <w:autoSpaceDN/>
      <w:adjustRightInd/>
      <w:spacing w:before="100" w:beforeAutospacing="1" w:after="100" w:afterAutospacing="1"/>
    </w:pPr>
    <w:rPr>
      <w:sz w:val="24"/>
      <w:szCs w:val="24"/>
      <w:lang w:eastAsia="uk-UA"/>
    </w:rPr>
  </w:style>
  <w:style w:type="character" w:customStyle="1" w:styleId="bold">
    <w:name w:val="bold"/>
    <w:basedOn w:val="a0"/>
    <w:rsid w:val="0063797B"/>
  </w:style>
  <w:style w:type="paragraph" w:customStyle="1" w:styleId="m5421948172330001328gmail-msonormal">
    <w:name w:val="m_5421948172330001328gmail-msonormal"/>
    <w:basedOn w:val="a"/>
    <w:rsid w:val="00685500"/>
    <w:pPr>
      <w:overflowPunct/>
      <w:autoSpaceDE/>
      <w:autoSpaceDN/>
      <w:adjustRightInd/>
      <w:spacing w:before="100" w:beforeAutospacing="1" w:after="100" w:afterAutospacing="1"/>
    </w:pPr>
    <w:rPr>
      <w:sz w:val="24"/>
      <w:szCs w:val="24"/>
      <w:lang w:eastAsia="uk-UA"/>
    </w:rPr>
  </w:style>
  <w:style w:type="paragraph" w:styleId="a7">
    <w:name w:val="List Paragraph"/>
    <w:basedOn w:val="a"/>
    <w:uiPriority w:val="34"/>
    <w:qFormat/>
    <w:rsid w:val="00B25777"/>
    <w:pPr>
      <w:ind w:left="720"/>
      <w:contextualSpacing/>
    </w:pPr>
  </w:style>
  <w:style w:type="paragraph" w:styleId="a8">
    <w:name w:val="Balloon Text"/>
    <w:basedOn w:val="a"/>
    <w:link w:val="a9"/>
    <w:uiPriority w:val="99"/>
    <w:semiHidden/>
    <w:unhideWhenUsed/>
    <w:rsid w:val="00B36B81"/>
    <w:pPr>
      <w:overflowPunct/>
      <w:autoSpaceDE/>
      <w:autoSpaceDN/>
      <w:adjustRightInd/>
    </w:pPr>
    <w:rPr>
      <w:rFonts w:ascii="Segoe UI" w:hAnsi="Segoe UI"/>
      <w:sz w:val="18"/>
      <w:szCs w:val="18"/>
      <w:lang w:eastAsia="uk-UA"/>
    </w:rPr>
  </w:style>
  <w:style w:type="character" w:customStyle="1" w:styleId="a9">
    <w:name w:val="Текст у виносці Знак"/>
    <w:basedOn w:val="a0"/>
    <w:link w:val="a8"/>
    <w:uiPriority w:val="99"/>
    <w:semiHidden/>
    <w:rsid w:val="00B36B81"/>
    <w:rPr>
      <w:rFonts w:ascii="Segoe UI" w:eastAsia="Times New Roman" w:hAnsi="Segoe UI" w:cs="Times New Roman"/>
      <w:sz w:val="18"/>
      <w:szCs w:val="18"/>
      <w:lang w:eastAsia="uk-UA"/>
    </w:rPr>
  </w:style>
  <w:style w:type="paragraph" w:styleId="aa">
    <w:name w:val="Normal (Web)"/>
    <w:basedOn w:val="a"/>
    <w:uiPriority w:val="99"/>
    <w:unhideWhenUsed/>
    <w:rsid w:val="009C4361"/>
    <w:pPr>
      <w:overflowPunct/>
      <w:autoSpaceDE/>
      <w:autoSpaceDN/>
      <w:adjustRightInd/>
      <w:spacing w:before="100" w:beforeAutospacing="1" w:after="100" w:afterAutospacing="1"/>
    </w:pPr>
    <w:rPr>
      <w:sz w:val="24"/>
      <w:szCs w:val="24"/>
    </w:rPr>
  </w:style>
  <w:style w:type="character" w:customStyle="1" w:styleId="FontStyle">
    <w:name w:val="Font Style"/>
    <w:rsid w:val="00784863"/>
    <w:rPr>
      <w:color w:val="000000"/>
      <w:sz w:val="20"/>
    </w:rPr>
  </w:style>
  <w:style w:type="paragraph" w:customStyle="1" w:styleId="rvps2">
    <w:name w:val="rvps2"/>
    <w:basedOn w:val="a"/>
    <w:uiPriority w:val="99"/>
    <w:rsid w:val="00784863"/>
    <w:pPr>
      <w:overflowPunct/>
      <w:autoSpaceDE/>
      <w:autoSpaceDN/>
      <w:adjustRightInd/>
      <w:spacing w:before="100" w:beforeAutospacing="1" w:after="100" w:afterAutospacing="1" w:line="276" w:lineRule="auto"/>
    </w:pPr>
    <w:rPr>
      <w:sz w:val="24"/>
      <w:szCs w:val="24"/>
    </w:rPr>
  </w:style>
  <w:style w:type="paragraph" w:customStyle="1" w:styleId="ab">
    <w:name w:val="Абзац списка"/>
    <w:basedOn w:val="a"/>
    <w:qFormat/>
    <w:rsid w:val="00B95517"/>
    <w:pPr>
      <w:overflowPunct/>
      <w:autoSpaceDE/>
      <w:autoSpaceDN/>
      <w:adjustRightInd/>
      <w:spacing w:after="200" w:line="276" w:lineRule="auto"/>
      <w:ind w:left="720"/>
      <w:contextualSpacing/>
    </w:pPr>
    <w:rPr>
      <w:rFonts w:ascii="Calibri" w:eastAsia="Calibri" w:hAnsi="Calibri"/>
      <w:sz w:val="22"/>
      <w:szCs w:val="22"/>
      <w:lang w:val="ru-RU" w:eastAsia="en-US"/>
    </w:rPr>
  </w:style>
  <w:style w:type="paragraph" w:styleId="ac">
    <w:name w:val="No Spacing"/>
    <w:uiPriority w:val="1"/>
    <w:qFormat/>
    <w:rsid w:val="00B95517"/>
    <w:pPr>
      <w:spacing w:after="0" w:line="240" w:lineRule="auto"/>
    </w:pPr>
    <w:rPr>
      <w:rFonts w:ascii="Calibri" w:eastAsia="Times New Roman" w:hAnsi="Calibri" w:cs="Times New Roman"/>
      <w:lang w:val="ru-RU"/>
    </w:rPr>
  </w:style>
  <w:style w:type="character" w:styleId="ad">
    <w:name w:val="Strong"/>
    <w:qFormat/>
    <w:rsid w:val="008F0B64"/>
    <w:rPr>
      <w:rFonts w:ascii="Times New Roman" w:hAnsi="Times New Roman" w:cs="Times New Roman" w:hint="default"/>
      <w:b/>
      <w:bCs/>
    </w:rPr>
  </w:style>
  <w:style w:type="paragraph" w:customStyle="1" w:styleId="normal">
    <w:name w:val="normal"/>
    <w:rsid w:val="008F0B64"/>
    <w:pPr>
      <w:spacing w:after="200" w:line="276" w:lineRule="auto"/>
    </w:pPr>
    <w:rPr>
      <w:rFonts w:ascii="Calibri" w:eastAsia="Times New Roman" w:hAnsi="Calibri" w:cs="Calibri"/>
      <w:color w:val="000000"/>
      <w:lang w:val="en-US"/>
    </w:rPr>
  </w:style>
  <w:style w:type="character" w:customStyle="1" w:styleId="st42">
    <w:name w:val="st42"/>
    <w:rsid w:val="008F0B64"/>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6992">
      <w:bodyDiv w:val="1"/>
      <w:marLeft w:val="0"/>
      <w:marRight w:val="0"/>
      <w:marTop w:val="0"/>
      <w:marBottom w:val="0"/>
      <w:divBdr>
        <w:top w:val="none" w:sz="0" w:space="0" w:color="auto"/>
        <w:left w:val="none" w:sz="0" w:space="0" w:color="auto"/>
        <w:bottom w:val="none" w:sz="0" w:space="0" w:color="auto"/>
        <w:right w:val="none" w:sz="0" w:space="0" w:color="auto"/>
      </w:divBdr>
    </w:div>
    <w:div w:id="192498950">
      <w:bodyDiv w:val="1"/>
      <w:marLeft w:val="0"/>
      <w:marRight w:val="0"/>
      <w:marTop w:val="0"/>
      <w:marBottom w:val="0"/>
      <w:divBdr>
        <w:top w:val="none" w:sz="0" w:space="0" w:color="auto"/>
        <w:left w:val="none" w:sz="0" w:space="0" w:color="auto"/>
        <w:bottom w:val="none" w:sz="0" w:space="0" w:color="auto"/>
        <w:right w:val="none" w:sz="0" w:space="0" w:color="auto"/>
      </w:divBdr>
    </w:div>
    <w:div w:id="310721855">
      <w:bodyDiv w:val="1"/>
      <w:marLeft w:val="0"/>
      <w:marRight w:val="0"/>
      <w:marTop w:val="0"/>
      <w:marBottom w:val="0"/>
      <w:divBdr>
        <w:top w:val="none" w:sz="0" w:space="0" w:color="auto"/>
        <w:left w:val="none" w:sz="0" w:space="0" w:color="auto"/>
        <w:bottom w:val="none" w:sz="0" w:space="0" w:color="auto"/>
        <w:right w:val="none" w:sz="0" w:space="0" w:color="auto"/>
      </w:divBdr>
    </w:div>
    <w:div w:id="331372946">
      <w:bodyDiv w:val="1"/>
      <w:marLeft w:val="0"/>
      <w:marRight w:val="0"/>
      <w:marTop w:val="0"/>
      <w:marBottom w:val="0"/>
      <w:divBdr>
        <w:top w:val="none" w:sz="0" w:space="0" w:color="auto"/>
        <w:left w:val="none" w:sz="0" w:space="0" w:color="auto"/>
        <w:bottom w:val="none" w:sz="0" w:space="0" w:color="auto"/>
        <w:right w:val="none" w:sz="0" w:space="0" w:color="auto"/>
      </w:divBdr>
    </w:div>
    <w:div w:id="438909626">
      <w:bodyDiv w:val="1"/>
      <w:marLeft w:val="0"/>
      <w:marRight w:val="0"/>
      <w:marTop w:val="0"/>
      <w:marBottom w:val="0"/>
      <w:divBdr>
        <w:top w:val="none" w:sz="0" w:space="0" w:color="auto"/>
        <w:left w:val="none" w:sz="0" w:space="0" w:color="auto"/>
        <w:bottom w:val="none" w:sz="0" w:space="0" w:color="auto"/>
        <w:right w:val="none" w:sz="0" w:space="0" w:color="auto"/>
      </w:divBdr>
    </w:div>
    <w:div w:id="690303706">
      <w:bodyDiv w:val="1"/>
      <w:marLeft w:val="0"/>
      <w:marRight w:val="0"/>
      <w:marTop w:val="0"/>
      <w:marBottom w:val="0"/>
      <w:divBdr>
        <w:top w:val="none" w:sz="0" w:space="0" w:color="auto"/>
        <w:left w:val="none" w:sz="0" w:space="0" w:color="auto"/>
        <w:bottom w:val="none" w:sz="0" w:space="0" w:color="auto"/>
        <w:right w:val="none" w:sz="0" w:space="0" w:color="auto"/>
      </w:divBdr>
    </w:div>
    <w:div w:id="762651708">
      <w:bodyDiv w:val="1"/>
      <w:marLeft w:val="0"/>
      <w:marRight w:val="0"/>
      <w:marTop w:val="0"/>
      <w:marBottom w:val="0"/>
      <w:divBdr>
        <w:top w:val="none" w:sz="0" w:space="0" w:color="auto"/>
        <w:left w:val="none" w:sz="0" w:space="0" w:color="auto"/>
        <w:bottom w:val="none" w:sz="0" w:space="0" w:color="auto"/>
        <w:right w:val="none" w:sz="0" w:space="0" w:color="auto"/>
      </w:divBdr>
    </w:div>
    <w:div w:id="1029256156">
      <w:bodyDiv w:val="1"/>
      <w:marLeft w:val="0"/>
      <w:marRight w:val="0"/>
      <w:marTop w:val="0"/>
      <w:marBottom w:val="0"/>
      <w:divBdr>
        <w:top w:val="none" w:sz="0" w:space="0" w:color="auto"/>
        <w:left w:val="none" w:sz="0" w:space="0" w:color="auto"/>
        <w:bottom w:val="none" w:sz="0" w:space="0" w:color="auto"/>
        <w:right w:val="none" w:sz="0" w:space="0" w:color="auto"/>
      </w:divBdr>
    </w:div>
    <w:div w:id="1046955129">
      <w:bodyDiv w:val="1"/>
      <w:marLeft w:val="0"/>
      <w:marRight w:val="0"/>
      <w:marTop w:val="0"/>
      <w:marBottom w:val="0"/>
      <w:divBdr>
        <w:top w:val="none" w:sz="0" w:space="0" w:color="auto"/>
        <w:left w:val="none" w:sz="0" w:space="0" w:color="auto"/>
        <w:bottom w:val="none" w:sz="0" w:space="0" w:color="auto"/>
        <w:right w:val="none" w:sz="0" w:space="0" w:color="auto"/>
      </w:divBdr>
    </w:div>
    <w:div w:id="1118639928">
      <w:bodyDiv w:val="1"/>
      <w:marLeft w:val="0"/>
      <w:marRight w:val="0"/>
      <w:marTop w:val="0"/>
      <w:marBottom w:val="0"/>
      <w:divBdr>
        <w:top w:val="none" w:sz="0" w:space="0" w:color="auto"/>
        <w:left w:val="none" w:sz="0" w:space="0" w:color="auto"/>
        <w:bottom w:val="none" w:sz="0" w:space="0" w:color="auto"/>
        <w:right w:val="none" w:sz="0" w:space="0" w:color="auto"/>
      </w:divBdr>
    </w:div>
    <w:div w:id="1121146082">
      <w:bodyDiv w:val="1"/>
      <w:marLeft w:val="0"/>
      <w:marRight w:val="0"/>
      <w:marTop w:val="0"/>
      <w:marBottom w:val="0"/>
      <w:divBdr>
        <w:top w:val="none" w:sz="0" w:space="0" w:color="auto"/>
        <w:left w:val="none" w:sz="0" w:space="0" w:color="auto"/>
        <w:bottom w:val="none" w:sz="0" w:space="0" w:color="auto"/>
        <w:right w:val="none" w:sz="0" w:space="0" w:color="auto"/>
      </w:divBdr>
    </w:div>
    <w:div w:id="1186138446">
      <w:bodyDiv w:val="1"/>
      <w:marLeft w:val="0"/>
      <w:marRight w:val="0"/>
      <w:marTop w:val="0"/>
      <w:marBottom w:val="0"/>
      <w:divBdr>
        <w:top w:val="none" w:sz="0" w:space="0" w:color="auto"/>
        <w:left w:val="none" w:sz="0" w:space="0" w:color="auto"/>
        <w:bottom w:val="none" w:sz="0" w:space="0" w:color="auto"/>
        <w:right w:val="none" w:sz="0" w:space="0" w:color="auto"/>
      </w:divBdr>
    </w:div>
    <w:div w:id="1206483967">
      <w:bodyDiv w:val="1"/>
      <w:marLeft w:val="0"/>
      <w:marRight w:val="0"/>
      <w:marTop w:val="0"/>
      <w:marBottom w:val="0"/>
      <w:divBdr>
        <w:top w:val="none" w:sz="0" w:space="0" w:color="auto"/>
        <w:left w:val="none" w:sz="0" w:space="0" w:color="auto"/>
        <w:bottom w:val="none" w:sz="0" w:space="0" w:color="auto"/>
        <w:right w:val="none" w:sz="0" w:space="0" w:color="auto"/>
      </w:divBdr>
    </w:div>
    <w:div w:id="1831671428">
      <w:bodyDiv w:val="1"/>
      <w:marLeft w:val="0"/>
      <w:marRight w:val="0"/>
      <w:marTop w:val="0"/>
      <w:marBottom w:val="0"/>
      <w:divBdr>
        <w:top w:val="none" w:sz="0" w:space="0" w:color="auto"/>
        <w:left w:val="none" w:sz="0" w:space="0" w:color="auto"/>
        <w:bottom w:val="none" w:sz="0" w:space="0" w:color="auto"/>
        <w:right w:val="none" w:sz="0" w:space="0" w:color="auto"/>
      </w:divBdr>
    </w:div>
    <w:div w:id="1851675552">
      <w:bodyDiv w:val="1"/>
      <w:marLeft w:val="0"/>
      <w:marRight w:val="0"/>
      <w:marTop w:val="0"/>
      <w:marBottom w:val="0"/>
      <w:divBdr>
        <w:top w:val="none" w:sz="0" w:space="0" w:color="auto"/>
        <w:left w:val="none" w:sz="0" w:space="0" w:color="auto"/>
        <w:bottom w:val="none" w:sz="0" w:space="0" w:color="auto"/>
        <w:right w:val="none" w:sz="0" w:space="0" w:color="auto"/>
      </w:divBdr>
    </w:div>
    <w:div w:id="1872836232">
      <w:bodyDiv w:val="1"/>
      <w:marLeft w:val="0"/>
      <w:marRight w:val="0"/>
      <w:marTop w:val="0"/>
      <w:marBottom w:val="0"/>
      <w:divBdr>
        <w:top w:val="none" w:sz="0" w:space="0" w:color="auto"/>
        <w:left w:val="none" w:sz="0" w:space="0" w:color="auto"/>
        <w:bottom w:val="none" w:sz="0" w:space="0" w:color="auto"/>
        <w:right w:val="none" w:sz="0" w:space="0" w:color="auto"/>
      </w:divBdr>
    </w:div>
    <w:div w:id="199467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3005</Words>
  <Characters>1714</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Фостик Богдан Володимирович</dc:creator>
  <cp:keywords/>
  <dc:description/>
  <cp:lastModifiedBy>Фостик Богдан Володимирович</cp:lastModifiedBy>
  <cp:revision>3</cp:revision>
  <cp:lastPrinted>2019-05-20T12:49:00Z</cp:lastPrinted>
  <dcterms:created xsi:type="dcterms:W3CDTF">2019-05-20T12:48:00Z</dcterms:created>
  <dcterms:modified xsi:type="dcterms:W3CDTF">2019-05-20T12:49:00Z</dcterms:modified>
</cp:coreProperties>
</file>