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740" w:rsidRDefault="002C2766" w:rsidP="00B94141">
      <w:pPr>
        <w:widowControl w:val="0"/>
        <w:tabs>
          <w:tab w:val="left" w:pos="0"/>
        </w:tabs>
        <w:autoSpaceDE w:val="0"/>
        <w:autoSpaceDN w:val="0"/>
        <w:adjustRightInd w:val="0"/>
        <w:spacing w:before="60" w:after="60"/>
        <w:jc w:val="center"/>
        <w:rPr>
          <w:rFonts w:ascii="Times New Roman" w:eastAsia="MS Mincho" w:hAnsi="Times New Roman"/>
          <w:b/>
          <w:color w:val="000000"/>
          <w:sz w:val="28"/>
          <w:szCs w:val="28"/>
          <w:lang w:eastAsia="ja-JP" w:bidi="ug-CN"/>
        </w:rPr>
      </w:pPr>
      <w:r w:rsidRPr="000C1055">
        <w:rPr>
          <w:rFonts w:ascii="Times New Roman" w:eastAsia="MS Mincho" w:hAnsi="Times New Roman"/>
          <w:b/>
          <w:color w:val="000000"/>
          <w:sz w:val="28"/>
          <w:szCs w:val="28"/>
          <w:lang w:eastAsia="ru-RU" w:bidi="ug-CN"/>
        </w:rPr>
        <w:t>ПОЯСНЮВАЛЬНА ЗАПИСКА</w:t>
      </w:r>
      <w:r w:rsidR="00893722" w:rsidRPr="000C1055">
        <w:rPr>
          <w:rFonts w:ascii="Times New Roman" w:eastAsia="MS Mincho" w:hAnsi="Times New Roman"/>
          <w:b/>
          <w:color w:val="000000"/>
          <w:sz w:val="28"/>
          <w:szCs w:val="28"/>
          <w:lang w:eastAsia="ru-RU" w:bidi="ug-CN"/>
        </w:rPr>
        <w:br/>
      </w:r>
      <w:r w:rsidRPr="000C1055">
        <w:rPr>
          <w:rFonts w:ascii="Times New Roman" w:eastAsia="MS Mincho" w:hAnsi="Times New Roman"/>
          <w:b/>
          <w:color w:val="000000"/>
          <w:sz w:val="28"/>
          <w:szCs w:val="28"/>
          <w:lang w:eastAsia="ru-RU" w:bidi="ug-CN"/>
        </w:rPr>
        <w:t>до проекту Закону України</w:t>
      </w:r>
      <w:r w:rsidR="00893722" w:rsidRPr="000C1055">
        <w:rPr>
          <w:rFonts w:ascii="Times New Roman" w:eastAsia="MS Mincho" w:hAnsi="Times New Roman"/>
          <w:b/>
          <w:color w:val="000000"/>
          <w:sz w:val="28"/>
          <w:szCs w:val="28"/>
          <w:lang w:eastAsia="ru-RU" w:bidi="ug-CN"/>
        </w:rPr>
        <w:br/>
      </w:r>
      <w:r w:rsidRPr="000C1055">
        <w:rPr>
          <w:rFonts w:ascii="Times New Roman" w:eastAsia="MS Mincho" w:hAnsi="Times New Roman"/>
          <w:b/>
          <w:color w:val="000000"/>
          <w:sz w:val="28"/>
          <w:szCs w:val="28"/>
          <w:lang w:eastAsia="ja-JP" w:bidi="ug-CN"/>
        </w:rPr>
        <w:t>«Про внесення змін до розділу ІІ «Прикінцеві та перехідні положення» Закону України «Про внесення змін до деяких законів України щодо зменшення дефіциту брухту чорних металів на внутрішньому ринку»</w:t>
      </w:r>
    </w:p>
    <w:p w:rsidR="00AC04A1" w:rsidRPr="000C1055" w:rsidRDefault="00AC04A1" w:rsidP="00B94141">
      <w:pPr>
        <w:widowControl w:val="0"/>
        <w:tabs>
          <w:tab w:val="left" w:pos="0"/>
        </w:tabs>
        <w:autoSpaceDE w:val="0"/>
        <w:autoSpaceDN w:val="0"/>
        <w:adjustRightInd w:val="0"/>
        <w:spacing w:before="60" w:after="60"/>
        <w:jc w:val="center"/>
        <w:rPr>
          <w:rFonts w:ascii="Times New Roman" w:eastAsia="MS Mincho" w:hAnsi="Times New Roman"/>
          <w:b/>
          <w:color w:val="000000"/>
          <w:sz w:val="28"/>
          <w:szCs w:val="28"/>
          <w:lang w:eastAsia="ja-JP" w:bidi="ug-CN"/>
        </w:rPr>
      </w:pPr>
    </w:p>
    <w:p w:rsidR="00906C98" w:rsidRPr="005012DF" w:rsidRDefault="002C2766" w:rsidP="00B94141">
      <w:pPr>
        <w:widowControl w:val="0"/>
        <w:numPr>
          <w:ilvl w:val="0"/>
          <w:numId w:val="1"/>
        </w:numPr>
        <w:tabs>
          <w:tab w:val="left" w:pos="993"/>
        </w:tabs>
        <w:autoSpaceDE w:val="0"/>
        <w:autoSpaceDN w:val="0"/>
        <w:adjustRightInd w:val="0"/>
        <w:spacing w:before="60" w:after="60"/>
        <w:ind w:left="0" w:firstLine="567"/>
        <w:jc w:val="both"/>
        <w:rPr>
          <w:rFonts w:ascii="Times New Roman" w:hAnsi="Times New Roman"/>
          <w:b/>
          <w:color w:val="000000"/>
          <w:sz w:val="28"/>
          <w:szCs w:val="28"/>
          <w:lang w:bidi="ug-CN"/>
        </w:rPr>
      </w:pPr>
      <w:r w:rsidRPr="000C1055">
        <w:rPr>
          <w:rFonts w:ascii="Times New Roman" w:hAnsi="Times New Roman"/>
          <w:b/>
          <w:color w:val="000000"/>
          <w:sz w:val="28"/>
          <w:szCs w:val="28"/>
          <w:lang w:bidi="ug-CN"/>
        </w:rPr>
        <w:t>Обґрунтування необхідності прийняття акту</w:t>
      </w:r>
    </w:p>
    <w:p w:rsidR="00906C98" w:rsidRDefault="00906C98"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906C98">
        <w:rPr>
          <w:rFonts w:ascii="Times New Roman" w:eastAsia="MS Mincho" w:hAnsi="Times New Roman"/>
          <w:color w:val="000000"/>
          <w:sz w:val="28"/>
          <w:szCs w:val="28"/>
          <w:lang w:eastAsia="ja-JP" w:bidi="ug-CN"/>
        </w:rPr>
        <w:t>Починаючи з 2016 р</w:t>
      </w:r>
      <w:r w:rsidR="005012DF">
        <w:rPr>
          <w:rFonts w:ascii="Times New Roman" w:eastAsia="MS Mincho" w:hAnsi="Times New Roman"/>
          <w:color w:val="000000"/>
          <w:sz w:val="28"/>
          <w:szCs w:val="28"/>
          <w:lang w:eastAsia="ja-JP" w:bidi="ug-CN"/>
        </w:rPr>
        <w:t>оку</w:t>
      </w:r>
      <w:r w:rsidRPr="00906C98">
        <w:rPr>
          <w:rFonts w:ascii="Times New Roman" w:eastAsia="MS Mincho" w:hAnsi="Times New Roman"/>
          <w:color w:val="000000"/>
          <w:sz w:val="28"/>
          <w:szCs w:val="28"/>
          <w:lang w:eastAsia="ja-JP" w:bidi="ug-CN"/>
        </w:rPr>
        <w:t xml:space="preserve">, завдяки </w:t>
      </w:r>
      <w:r w:rsidR="005012DF">
        <w:rPr>
          <w:rFonts w:ascii="Times New Roman" w:eastAsia="MS Mincho" w:hAnsi="Times New Roman"/>
          <w:color w:val="000000"/>
          <w:sz w:val="28"/>
          <w:szCs w:val="28"/>
          <w:lang w:eastAsia="ja-JP" w:bidi="ug-CN"/>
        </w:rPr>
        <w:t xml:space="preserve">прийнятим Верховною Радою України </w:t>
      </w:r>
      <w:r w:rsidRPr="00906C98">
        <w:rPr>
          <w:rFonts w:ascii="Times New Roman" w:eastAsia="MS Mincho" w:hAnsi="Times New Roman"/>
          <w:color w:val="000000"/>
          <w:sz w:val="28"/>
          <w:szCs w:val="28"/>
          <w:lang w:eastAsia="ja-JP" w:bidi="ug-CN"/>
        </w:rPr>
        <w:t xml:space="preserve">трьом </w:t>
      </w:r>
      <w:r w:rsidR="005012DF">
        <w:rPr>
          <w:rFonts w:ascii="Times New Roman" w:eastAsia="MS Mincho" w:hAnsi="Times New Roman"/>
          <w:color w:val="000000"/>
          <w:sz w:val="28"/>
          <w:szCs w:val="28"/>
          <w:lang w:eastAsia="ja-JP" w:bidi="ug-CN"/>
        </w:rPr>
        <w:t xml:space="preserve">Законам щодо </w:t>
      </w:r>
      <w:r w:rsidRPr="00906C98">
        <w:rPr>
          <w:rFonts w:ascii="Times New Roman" w:eastAsia="MS Mincho" w:hAnsi="Times New Roman"/>
          <w:color w:val="000000"/>
          <w:sz w:val="28"/>
          <w:szCs w:val="28"/>
          <w:lang w:eastAsia="ja-JP" w:bidi="ug-CN"/>
        </w:rPr>
        <w:t>підвищення і продовження дії підвищеного вивізного мита на брухт чорних металів з 10 до 30</w:t>
      </w:r>
      <w:r w:rsidR="005012DF" w:rsidRPr="005012DF">
        <w:rPr>
          <w:rFonts w:ascii="Times New Roman" w:eastAsia="MS Mincho" w:hAnsi="Times New Roman"/>
          <w:color w:val="000000"/>
          <w:sz w:val="28"/>
          <w:szCs w:val="28"/>
          <w:lang w:eastAsia="ja-JP" w:bidi="ug-CN"/>
        </w:rPr>
        <w:t xml:space="preserve"> </w:t>
      </w:r>
      <w:r w:rsidR="005012DF">
        <w:rPr>
          <w:rFonts w:ascii="Times New Roman" w:eastAsia="MS Mincho" w:hAnsi="Times New Roman"/>
          <w:color w:val="000000"/>
          <w:sz w:val="28"/>
          <w:szCs w:val="28"/>
          <w:lang w:eastAsia="ja-JP" w:bidi="ug-CN"/>
        </w:rPr>
        <w:t>Є</w:t>
      </w:r>
      <w:r w:rsidR="005012DF" w:rsidRPr="00906C98">
        <w:rPr>
          <w:rFonts w:ascii="Times New Roman" w:eastAsia="MS Mincho" w:hAnsi="Times New Roman"/>
          <w:color w:val="000000"/>
          <w:sz w:val="28"/>
          <w:szCs w:val="28"/>
          <w:lang w:eastAsia="ja-JP" w:bidi="ug-CN"/>
        </w:rPr>
        <w:t>вро/т</w:t>
      </w:r>
      <w:r w:rsidRPr="00906C98">
        <w:rPr>
          <w:rFonts w:ascii="Times New Roman" w:eastAsia="MS Mincho" w:hAnsi="Times New Roman"/>
          <w:color w:val="000000"/>
          <w:sz w:val="28"/>
          <w:szCs w:val="28"/>
          <w:lang w:eastAsia="ja-JP" w:bidi="ug-CN"/>
        </w:rPr>
        <w:t xml:space="preserve">, а потім до 42 </w:t>
      </w:r>
      <w:r w:rsidR="005012DF">
        <w:rPr>
          <w:rFonts w:ascii="Times New Roman" w:eastAsia="MS Mincho" w:hAnsi="Times New Roman"/>
          <w:color w:val="000000"/>
          <w:sz w:val="28"/>
          <w:szCs w:val="28"/>
          <w:lang w:eastAsia="ja-JP" w:bidi="ug-CN"/>
        </w:rPr>
        <w:t>Є</w:t>
      </w:r>
      <w:r w:rsidRPr="00906C98">
        <w:rPr>
          <w:rFonts w:ascii="Times New Roman" w:eastAsia="MS Mincho" w:hAnsi="Times New Roman"/>
          <w:color w:val="000000"/>
          <w:sz w:val="28"/>
          <w:szCs w:val="28"/>
          <w:lang w:eastAsia="ja-JP" w:bidi="ug-CN"/>
        </w:rPr>
        <w:t>вро/т, в Україні спостерігаються позитивні тенденції у забезпеченні цією сировиною металургійних підприємств. Третій рік поспіль зростають обсяги поставок металобрухту вітчизняної заготівлі, дефіцит брухту знизився з 0,85 до 0,3 млн. т, покривається 98% потреб металургійної галузі у даному ресурсі.</w:t>
      </w:r>
    </w:p>
    <w:p w:rsidR="005012DF" w:rsidRPr="005012DF" w:rsidRDefault="005012DF"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Pr>
          <w:rFonts w:ascii="Times New Roman" w:eastAsia="MS Mincho" w:hAnsi="Times New Roman"/>
          <w:color w:val="000000"/>
          <w:sz w:val="28"/>
          <w:szCs w:val="28"/>
          <w:lang w:eastAsia="ja-JP" w:bidi="ug-CN"/>
        </w:rPr>
        <w:t>Так, у</w:t>
      </w:r>
      <w:r w:rsidRPr="005012DF">
        <w:rPr>
          <w:rFonts w:ascii="Times New Roman" w:eastAsia="MS Mincho" w:hAnsi="Times New Roman"/>
          <w:color w:val="000000"/>
          <w:sz w:val="28"/>
          <w:szCs w:val="28"/>
          <w:lang w:eastAsia="ja-JP" w:bidi="ug-CN"/>
        </w:rPr>
        <w:t xml:space="preserve"> період з січня по жовтень 2018 р</w:t>
      </w:r>
      <w:r>
        <w:rPr>
          <w:rFonts w:ascii="Times New Roman" w:eastAsia="MS Mincho" w:hAnsi="Times New Roman"/>
          <w:color w:val="000000"/>
          <w:sz w:val="28"/>
          <w:szCs w:val="28"/>
          <w:lang w:eastAsia="ja-JP" w:bidi="ug-CN"/>
        </w:rPr>
        <w:t>оку</w:t>
      </w:r>
      <w:r w:rsidRPr="005012DF">
        <w:rPr>
          <w:rFonts w:ascii="Times New Roman" w:eastAsia="MS Mincho" w:hAnsi="Times New Roman"/>
          <w:color w:val="000000"/>
          <w:sz w:val="28"/>
          <w:szCs w:val="28"/>
          <w:lang w:eastAsia="ja-JP" w:bidi="ug-CN"/>
        </w:rPr>
        <w:t xml:space="preserve"> обсяги заготівлі брухту продовжували зберігати сталу динаміку й навіть попри підвищення вивізного мита до 42 євро/т склали 3030 тис. т, що лише на 30 тис. т (або на 1,0%) менше ніж за аналогічний період попереднього року</w:t>
      </w:r>
      <w:r>
        <w:rPr>
          <w:rFonts w:ascii="Times New Roman" w:eastAsia="MS Mincho" w:hAnsi="Times New Roman"/>
          <w:color w:val="000000"/>
          <w:sz w:val="28"/>
          <w:szCs w:val="28"/>
          <w:lang w:eastAsia="ja-JP" w:bidi="ug-CN"/>
        </w:rPr>
        <w:t xml:space="preserve">. </w:t>
      </w:r>
    </w:p>
    <w:p w:rsidR="00906C98" w:rsidRDefault="005012DF" w:rsidP="00B94141">
      <w:pPr>
        <w:widowControl w:val="0"/>
        <w:tabs>
          <w:tab w:val="left" w:pos="993"/>
        </w:tabs>
        <w:autoSpaceDE w:val="0"/>
        <w:autoSpaceDN w:val="0"/>
        <w:adjustRightInd w:val="0"/>
        <w:spacing w:before="120" w:after="120"/>
        <w:jc w:val="center"/>
        <w:rPr>
          <w:rFonts w:ascii="Times New Roman" w:eastAsia="MS Mincho" w:hAnsi="Times New Roman"/>
          <w:color w:val="000000"/>
          <w:sz w:val="28"/>
          <w:szCs w:val="28"/>
          <w:lang w:eastAsia="ja-JP" w:bidi="ug-CN"/>
        </w:rPr>
      </w:pPr>
      <w:r>
        <w:rPr>
          <w:rFonts w:ascii="Times New Roman" w:hAnsi="Times New Roman"/>
          <w:noProof/>
          <w:sz w:val="28"/>
          <w:lang w:eastAsia="uk-UA"/>
        </w:rPr>
        <w:drawing>
          <wp:inline distT="0" distB="0" distL="0" distR="0" wp14:anchorId="31A5EA65" wp14:editId="451DF863">
            <wp:extent cx="5760000" cy="3240000"/>
            <wp:effectExtent l="0" t="0" r="6350" b="1143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E3F48" w:rsidRDefault="007D3D13" w:rsidP="00B94141">
      <w:pPr>
        <w:pStyle w:val="TimesNewRoman"/>
        <w:spacing w:line="276" w:lineRule="auto"/>
        <w:ind w:firstLine="567"/>
        <w:jc w:val="both"/>
        <w:rPr>
          <w:rFonts w:eastAsia="MS Mincho"/>
          <w:color w:val="000000"/>
          <w:szCs w:val="28"/>
          <w:lang w:val="uk-UA" w:eastAsia="ja-JP" w:bidi="ug-CN"/>
        </w:rPr>
      </w:pPr>
      <w:r w:rsidRPr="007D3D13">
        <w:rPr>
          <w:rFonts w:eastAsia="MS Mincho"/>
          <w:color w:val="000000"/>
          <w:szCs w:val="28"/>
          <w:lang w:val="uk-UA" w:eastAsia="ja-JP" w:bidi="ug-CN"/>
        </w:rPr>
        <w:t>При цьому, обсяги постачання металобрухту вітчизняної заготівлі на металургійні підприємства України протягом січня-жовтня 2018 р. зросли порівняно з аналогічним періодом 2017 р</w:t>
      </w:r>
      <w:r>
        <w:rPr>
          <w:rFonts w:eastAsia="MS Mincho"/>
          <w:color w:val="000000"/>
          <w:szCs w:val="28"/>
          <w:lang w:val="uk-UA" w:eastAsia="ja-JP" w:bidi="ug-CN"/>
        </w:rPr>
        <w:t>оку</w:t>
      </w:r>
      <w:r w:rsidRPr="007D3D13">
        <w:rPr>
          <w:rFonts w:eastAsia="MS Mincho"/>
          <w:color w:val="000000"/>
          <w:szCs w:val="28"/>
          <w:lang w:val="uk-UA" w:eastAsia="ja-JP" w:bidi="ug-CN"/>
        </w:rPr>
        <w:t xml:space="preserve"> на 27 тис. т (1,0%). Завдяки цьому дефіцит брухту на металургійних підприємствах вдалося скоротити з </w:t>
      </w:r>
      <w:r w:rsidRPr="007D3D13">
        <w:rPr>
          <w:rFonts w:eastAsia="MS Mincho"/>
          <w:color w:val="000000"/>
          <w:szCs w:val="28"/>
          <w:lang w:val="uk-UA" w:eastAsia="ja-JP" w:bidi="ug-CN"/>
        </w:rPr>
        <w:lastRenderedPageBreak/>
        <w:t>9% у 2017 р. до 2% за підсумками десяти місяців 2018 р. при виробництві сталі на рівні 17,6 млн. т.</w:t>
      </w:r>
    </w:p>
    <w:p w:rsidR="006E3F48" w:rsidRDefault="006E3F48" w:rsidP="00B94141">
      <w:pPr>
        <w:pStyle w:val="TimesNewRoman"/>
        <w:spacing w:line="276" w:lineRule="auto"/>
        <w:jc w:val="both"/>
        <w:rPr>
          <w:rFonts w:eastAsia="MS Mincho"/>
          <w:color w:val="000000"/>
          <w:szCs w:val="28"/>
          <w:lang w:val="uk-UA" w:eastAsia="ja-JP" w:bidi="ug-CN"/>
        </w:rPr>
      </w:pPr>
      <w:r>
        <w:rPr>
          <w:noProof/>
          <w:lang w:val="uk-UA" w:eastAsia="uk-UA"/>
        </w:rPr>
        <w:drawing>
          <wp:inline distT="0" distB="0" distL="0" distR="0" wp14:anchorId="2024E9B9" wp14:editId="4327229E">
            <wp:extent cx="5760000" cy="3240000"/>
            <wp:effectExtent l="0" t="0" r="6350" b="1143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D3D13" w:rsidRDefault="007D3D13" w:rsidP="00AC04A1">
      <w:pPr>
        <w:pStyle w:val="TimesNewRoman"/>
        <w:spacing w:before="120" w:line="276" w:lineRule="auto"/>
        <w:ind w:firstLine="567"/>
        <w:jc w:val="both"/>
        <w:rPr>
          <w:rFonts w:eastAsia="MS Mincho"/>
          <w:color w:val="000000"/>
          <w:szCs w:val="28"/>
          <w:lang w:val="uk-UA" w:eastAsia="ja-JP" w:bidi="ug-CN"/>
        </w:rPr>
      </w:pPr>
      <w:r w:rsidRPr="007D3D13">
        <w:rPr>
          <w:rFonts w:eastAsia="MS Mincho"/>
          <w:color w:val="000000"/>
          <w:szCs w:val="28"/>
          <w:lang w:val="uk-UA" w:eastAsia="ja-JP" w:bidi="ug-CN"/>
        </w:rPr>
        <w:t>Таким чином, дефіцит вітчизняного металобрухту на металургійних підприємствах України вдалося майже повністю подолати, скоротивши його з 0,3 млн т. до 0,06 млн. т.</w:t>
      </w:r>
    </w:p>
    <w:p w:rsidR="00AC04A1" w:rsidRDefault="002F290F" w:rsidP="00AC04A1">
      <w:pPr>
        <w:pStyle w:val="TimesNewRoman"/>
        <w:spacing w:before="120" w:line="276" w:lineRule="auto"/>
        <w:ind w:firstLine="567"/>
        <w:jc w:val="both"/>
        <w:rPr>
          <w:rFonts w:eastAsia="MS Mincho"/>
          <w:color w:val="000000"/>
          <w:szCs w:val="28"/>
          <w:lang w:val="uk-UA" w:eastAsia="ja-JP" w:bidi="ug-CN"/>
        </w:rPr>
      </w:pPr>
      <w:r w:rsidRPr="002F290F">
        <w:rPr>
          <w:rFonts w:eastAsia="MS Mincho"/>
          <w:color w:val="000000"/>
          <w:szCs w:val="28"/>
          <w:lang w:val="uk-UA" w:eastAsia="ja-JP" w:bidi="ug-CN"/>
        </w:rPr>
        <w:t>При цьому, скорочення обсягів експорту брухту відбулося на тлі стрімкого зростання світових цін на нього. Середньорічна експортна ціна брухту чорних металів у січні-жовтні 2018 р</w:t>
      </w:r>
      <w:r>
        <w:rPr>
          <w:rFonts w:eastAsia="MS Mincho"/>
          <w:color w:val="000000"/>
          <w:szCs w:val="28"/>
          <w:lang w:val="uk-UA" w:eastAsia="ja-JP" w:bidi="ug-CN"/>
        </w:rPr>
        <w:t>оку</w:t>
      </w:r>
      <w:r w:rsidRPr="002F290F">
        <w:rPr>
          <w:rFonts w:eastAsia="MS Mincho"/>
          <w:color w:val="000000"/>
          <w:szCs w:val="28"/>
          <w:lang w:val="uk-UA" w:eastAsia="ja-JP" w:bidi="ug-CN"/>
        </w:rPr>
        <w:t xml:space="preserve"> склала 324,1 </w:t>
      </w:r>
      <w:proofErr w:type="spellStart"/>
      <w:r w:rsidRPr="002F290F">
        <w:rPr>
          <w:rFonts w:eastAsia="MS Mincho"/>
          <w:color w:val="000000"/>
          <w:szCs w:val="28"/>
          <w:lang w:val="uk-UA" w:eastAsia="ja-JP" w:bidi="ug-CN"/>
        </w:rPr>
        <w:t>дол</w:t>
      </w:r>
      <w:proofErr w:type="spellEnd"/>
      <w:r w:rsidRPr="002F290F">
        <w:rPr>
          <w:rFonts w:eastAsia="MS Mincho"/>
          <w:color w:val="000000"/>
          <w:szCs w:val="28"/>
          <w:lang w:val="uk-UA" w:eastAsia="ja-JP" w:bidi="ug-CN"/>
        </w:rPr>
        <w:t>. США/т, що на 30% більше рівня 2017 р</w:t>
      </w:r>
      <w:r>
        <w:rPr>
          <w:rFonts w:eastAsia="MS Mincho"/>
          <w:color w:val="000000"/>
          <w:szCs w:val="28"/>
          <w:lang w:val="uk-UA" w:eastAsia="ja-JP" w:bidi="ug-CN"/>
        </w:rPr>
        <w:t xml:space="preserve">оку </w:t>
      </w:r>
      <w:r w:rsidRPr="002F290F">
        <w:rPr>
          <w:rFonts w:eastAsia="MS Mincho"/>
          <w:color w:val="000000"/>
          <w:szCs w:val="28"/>
          <w:lang w:val="uk-UA" w:eastAsia="ja-JP" w:bidi="ug-CN"/>
        </w:rPr>
        <w:t>та на 81,6% вище рівня 2016 р</w:t>
      </w:r>
      <w:r>
        <w:rPr>
          <w:rFonts w:eastAsia="MS Mincho"/>
          <w:color w:val="000000"/>
          <w:szCs w:val="28"/>
          <w:lang w:val="uk-UA" w:eastAsia="ja-JP" w:bidi="ug-CN"/>
        </w:rPr>
        <w:t>оку</w:t>
      </w:r>
      <w:r w:rsidR="00AC04A1">
        <w:rPr>
          <w:rFonts w:eastAsia="MS Mincho"/>
          <w:color w:val="000000"/>
          <w:szCs w:val="28"/>
          <w:lang w:val="uk-UA" w:eastAsia="ja-JP" w:bidi="ug-CN"/>
        </w:rPr>
        <w:t>.</w:t>
      </w:r>
    </w:p>
    <w:p w:rsidR="007D3D13" w:rsidRDefault="002F290F" w:rsidP="00AC04A1">
      <w:pPr>
        <w:pStyle w:val="TimesNewRoman"/>
        <w:spacing w:before="120" w:line="276" w:lineRule="auto"/>
        <w:jc w:val="both"/>
        <w:rPr>
          <w:rFonts w:eastAsia="MS Mincho"/>
          <w:color w:val="000000"/>
          <w:szCs w:val="28"/>
          <w:lang w:eastAsia="ja-JP" w:bidi="ug-CN"/>
        </w:rPr>
      </w:pPr>
      <w:r>
        <w:rPr>
          <w:noProof/>
          <w:lang w:val="uk-UA" w:eastAsia="uk-UA"/>
        </w:rPr>
        <w:drawing>
          <wp:inline distT="0" distB="0" distL="0" distR="0" wp14:anchorId="396F7501" wp14:editId="03E88C85">
            <wp:extent cx="5759450" cy="3600000"/>
            <wp:effectExtent l="0" t="0" r="6350" b="698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F25FF" w:rsidRPr="00AF25FF" w:rsidRDefault="00AF25FF"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AF25FF">
        <w:rPr>
          <w:rFonts w:ascii="Times New Roman" w:eastAsia="MS Mincho" w:hAnsi="Times New Roman"/>
          <w:color w:val="000000"/>
          <w:sz w:val="28"/>
          <w:szCs w:val="28"/>
          <w:lang w:eastAsia="ja-JP" w:bidi="ug-CN"/>
        </w:rPr>
        <w:lastRenderedPageBreak/>
        <w:t>Це наочно засвідчує доречність та своєчасність підвищення ставки вивізного мита на брухт з 30 до 42 євро/т. Для порівняння, при ставці 10 євро/т при подібній ціні</w:t>
      </w:r>
      <w:r>
        <w:rPr>
          <w:rFonts w:ascii="Times New Roman" w:eastAsia="MS Mincho" w:hAnsi="Times New Roman"/>
          <w:color w:val="000000"/>
          <w:sz w:val="28"/>
          <w:szCs w:val="28"/>
          <w:lang w:eastAsia="ja-JP" w:bidi="ug-CN"/>
        </w:rPr>
        <w:t xml:space="preserve"> за</w:t>
      </w:r>
      <w:r w:rsidRPr="00AF25FF">
        <w:rPr>
          <w:rFonts w:ascii="Times New Roman" w:eastAsia="MS Mincho" w:hAnsi="Times New Roman"/>
          <w:color w:val="000000"/>
          <w:sz w:val="28"/>
          <w:szCs w:val="28"/>
          <w:lang w:eastAsia="ja-JP" w:bidi="ug-CN"/>
        </w:rPr>
        <w:t xml:space="preserve"> експорт брухту у 2014 р. сягнув 921,9 тис. т. </w:t>
      </w:r>
    </w:p>
    <w:p w:rsidR="00AF25FF" w:rsidRDefault="00AF25FF"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AF25FF">
        <w:rPr>
          <w:rFonts w:ascii="Times New Roman" w:eastAsia="MS Mincho" w:hAnsi="Times New Roman"/>
          <w:color w:val="000000"/>
          <w:sz w:val="28"/>
          <w:szCs w:val="28"/>
          <w:lang w:eastAsia="ja-JP" w:bidi="ug-CN"/>
        </w:rPr>
        <w:t xml:space="preserve">Важливою залишається й фіскальна функція вивізного мита на брухт чорних металів. За попередніми оцінками, у січні-жовтні 2018 р. до державного бюджету України надійшло близько 315,8 млн. грн. від сплати даного мита. Це лише на 8,6% менше ніж за аналогічний період 2017 р. </w:t>
      </w:r>
      <w:r w:rsidR="00EF637A">
        <w:rPr>
          <w:rFonts w:ascii="Times New Roman" w:eastAsia="MS Mincho" w:hAnsi="Times New Roman"/>
          <w:color w:val="000000"/>
          <w:sz w:val="28"/>
          <w:szCs w:val="28"/>
          <w:lang w:eastAsia="ja-JP" w:bidi="ug-CN"/>
        </w:rPr>
        <w:br/>
      </w:r>
      <w:r w:rsidRPr="00AF25FF">
        <w:rPr>
          <w:rFonts w:ascii="Times New Roman" w:eastAsia="MS Mincho" w:hAnsi="Times New Roman"/>
          <w:color w:val="000000"/>
          <w:sz w:val="28"/>
          <w:szCs w:val="28"/>
          <w:lang w:eastAsia="ja-JP" w:bidi="ug-CN"/>
        </w:rPr>
        <w:t>(345,5 млн. грн.), хоча фізичні обсяги експорту за цей час скоротились на 16,1%. Ця різниця обумовлена як підвищенням експортного мита до 42 євро/т у вересні 2018 р., так і поступовою девальвацією гривні у 2017-2018 рр.</w:t>
      </w:r>
    </w:p>
    <w:p w:rsidR="008901A0" w:rsidRDefault="008901A0"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Pr>
          <w:rFonts w:ascii="Times New Roman" w:eastAsia="MS Mincho" w:hAnsi="Times New Roman"/>
          <w:color w:val="000000"/>
          <w:sz w:val="28"/>
          <w:szCs w:val="28"/>
          <w:lang w:eastAsia="ja-JP" w:bidi="ug-CN"/>
        </w:rPr>
        <w:t>Таким чином, п</w:t>
      </w:r>
      <w:r w:rsidRPr="008901A0">
        <w:rPr>
          <w:rFonts w:ascii="Times New Roman" w:eastAsia="MS Mincho" w:hAnsi="Times New Roman"/>
          <w:color w:val="000000"/>
          <w:sz w:val="28"/>
          <w:szCs w:val="28"/>
          <w:lang w:eastAsia="ja-JP" w:bidi="ug-CN"/>
        </w:rPr>
        <w:t>оточна динаміка кон’юнктури світового ринку металобрухту і розвитку металургійної галузі України довели доцільність та своєчасність підняття ставки вивізного мита на брухт до 42 євро/т у 2018 р.. У січні-жовтні 2018 р. дефіцит брухту на металургійних підприємствах України скоротився з 9 до 2%; експорт брухту зменшився на 16,1% при тому, що середньорічна ціна експорту зросла на 30%; митні надходження до Держбюджету від експорту металобрухту склали 315,8 млн. грн.</w:t>
      </w:r>
    </w:p>
    <w:p w:rsidR="007D3D13" w:rsidRDefault="00224D3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224D31">
        <w:rPr>
          <w:rFonts w:ascii="Times New Roman" w:eastAsia="MS Mincho" w:hAnsi="Times New Roman"/>
          <w:color w:val="000000"/>
          <w:sz w:val="28"/>
          <w:szCs w:val="28"/>
          <w:lang w:eastAsia="ja-JP" w:bidi="ug-CN"/>
        </w:rPr>
        <w:t xml:space="preserve">Викликом для подальшого обмеження вітчизняного експорту брухту наразі залишаються поставки до так званої «Придніпровської Молдовської Республіки» (ПМР), що у статистичній звітності </w:t>
      </w:r>
      <w:proofErr w:type="spellStart"/>
      <w:r>
        <w:rPr>
          <w:rFonts w:ascii="Times New Roman" w:eastAsia="MS Mincho" w:hAnsi="Times New Roman"/>
          <w:color w:val="000000"/>
          <w:sz w:val="28"/>
          <w:szCs w:val="28"/>
          <w:lang w:eastAsia="ja-JP" w:bidi="ug-CN"/>
        </w:rPr>
        <w:t>Держстату</w:t>
      </w:r>
      <w:proofErr w:type="spellEnd"/>
      <w:r>
        <w:rPr>
          <w:rFonts w:ascii="Times New Roman" w:eastAsia="MS Mincho" w:hAnsi="Times New Roman"/>
          <w:color w:val="000000"/>
          <w:sz w:val="28"/>
          <w:szCs w:val="28"/>
          <w:lang w:eastAsia="ja-JP" w:bidi="ug-CN"/>
        </w:rPr>
        <w:t xml:space="preserve"> України</w:t>
      </w:r>
      <w:r w:rsidRPr="00224D31">
        <w:rPr>
          <w:rFonts w:ascii="Times New Roman" w:eastAsia="MS Mincho" w:hAnsi="Times New Roman"/>
          <w:color w:val="000000"/>
          <w:sz w:val="28"/>
          <w:szCs w:val="28"/>
          <w:lang w:eastAsia="ja-JP" w:bidi="ug-CN"/>
        </w:rPr>
        <w:t xml:space="preserve"> відображається у зростанні обсягів експорту до Молдови.</w:t>
      </w:r>
    </w:p>
    <w:p w:rsidR="007D3D13" w:rsidRDefault="00224D31" w:rsidP="00AC04A1">
      <w:pPr>
        <w:widowControl w:val="0"/>
        <w:tabs>
          <w:tab w:val="left" w:pos="993"/>
        </w:tabs>
        <w:autoSpaceDE w:val="0"/>
        <w:autoSpaceDN w:val="0"/>
        <w:adjustRightInd w:val="0"/>
        <w:spacing w:before="120" w:after="120"/>
        <w:jc w:val="both"/>
        <w:rPr>
          <w:rFonts w:ascii="Times New Roman" w:eastAsia="MS Mincho" w:hAnsi="Times New Roman"/>
          <w:color w:val="000000"/>
          <w:sz w:val="28"/>
          <w:szCs w:val="28"/>
          <w:lang w:eastAsia="ja-JP" w:bidi="ug-CN"/>
        </w:rPr>
      </w:pPr>
      <w:r>
        <w:rPr>
          <w:rFonts w:ascii="Times New Roman" w:hAnsi="Times New Roman"/>
          <w:noProof/>
          <w:sz w:val="28"/>
          <w:lang w:eastAsia="uk-UA"/>
        </w:rPr>
        <w:drawing>
          <wp:inline distT="0" distB="0" distL="0" distR="0" wp14:anchorId="17A1D463" wp14:editId="365DAAD0">
            <wp:extent cx="5759450" cy="2520000"/>
            <wp:effectExtent l="0" t="0" r="6350" b="762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24D31" w:rsidRPr="00224D31" w:rsidRDefault="00224D3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224D31">
        <w:rPr>
          <w:rFonts w:ascii="Times New Roman" w:eastAsia="MS Mincho" w:hAnsi="Times New Roman"/>
          <w:color w:val="000000"/>
          <w:sz w:val="28"/>
          <w:szCs w:val="28"/>
          <w:lang w:eastAsia="ja-JP" w:bidi="ug-CN"/>
        </w:rPr>
        <w:t xml:space="preserve">У січні-жовтні 2018 р. частка Молдови у вітчизняному експорті брухту сягнула 59,8%, хоча у попередньому році її рівень склав 44,0%. Зважаючи на те, що ще у 2016 р. експорт брухту до Молдови не перевищував 0,6 тис. т, стрімке зростання поставок у 2017-2018 рр. свідчить про використання невизнаних територій Молдови як зручної </w:t>
      </w:r>
      <w:r w:rsidR="00036284">
        <w:rPr>
          <w:rFonts w:ascii="Times New Roman" w:eastAsia="MS Mincho" w:hAnsi="Times New Roman"/>
          <w:color w:val="000000"/>
          <w:sz w:val="28"/>
          <w:szCs w:val="28"/>
          <w:lang w:eastAsia="ja-JP" w:bidi="ug-CN"/>
        </w:rPr>
        <w:t>«</w:t>
      </w:r>
      <w:r w:rsidRPr="00224D31">
        <w:rPr>
          <w:rFonts w:ascii="Times New Roman" w:eastAsia="MS Mincho" w:hAnsi="Times New Roman"/>
          <w:color w:val="000000"/>
          <w:sz w:val="28"/>
          <w:szCs w:val="28"/>
          <w:lang w:eastAsia="ja-JP" w:bidi="ug-CN"/>
        </w:rPr>
        <w:t>гавані</w:t>
      </w:r>
      <w:r w:rsidR="00036284">
        <w:rPr>
          <w:rFonts w:ascii="Times New Roman" w:eastAsia="MS Mincho" w:hAnsi="Times New Roman"/>
          <w:color w:val="000000"/>
          <w:sz w:val="28"/>
          <w:szCs w:val="28"/>
          <w:lang w:eastAsia="ja-JP" w:bidi="ug-CN"/>
        </w:rPr>
        <w:t>»</w:t>
      </w:r>
      <w:r w:rsidRPr="00224D31">
        <w:rPr>
          <w:rFonts w:ascii="Times New Roman" w:eastAsia="MS Mincho" w:hAnsi="Times New Roman"/>
          <w:color w:val="000000"/>
          <w:sz w:val="28"/>
          <w:szCs w:val="28"/>
          <w:lang w:eastAsia="ja-JP" w:bidi="ug-CN"/>
        </w:rPr>
        <w:t xml:space="preserve"> для </w:t>
      </w:r>
      <w:r w:rsidR="00036284">
        <w:rPr>
          <w:rFonts w:ascii="Times New Roman" w:eastAsia="MS Mincho" w:hAnsi="Times New Roman"/>
          <w:color w:val="000000"/>
          <w:sz w:val="28"/>
          <w:szCs w:val="28"/>
          <w:lang w:eastAsia="ja-JP" w:bidi="ug-CN"/>
        </w:rPr>
        <w:t xml:space="preserve">нівелювання </w:t>
      </w:r>
      <w:r w:rsidRPr="00224D31">
        <w:rPr>
          <w:rFonts w:ascii="Times New Roman" w:eastAsia="MS Mincho" w:hAnsi="Times New Roman"/>
          <w:color w:val="000000"/>
          <w:sz w:val="28"/>
          <w:szCs w:val="28"/>
          <w:lang w:eastAsia="ja-JP" w:bidi="ug-CN"/>
        </w:rPr>
        <w:lastRenderedPageBreak/>
        <w:t>вивізного мита, оскільки для місцевих металургійних підприємств усі супутні видатки повною мірою компенсуються прямими субсидіями. Очевидною є практика недобросовісної конкуренції, яка послаблює ефект від дії в Україні вивізного мита на брухт.</w:t>
      </w:r>
    </w:p>
    <w:p w:rsidR="00561EB5" w:rsidRPr="00561EB5" w:rsidRDefault="00224D3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224D31">
        <w:rPr>
          <w:rFonts w:ascii="Times New Roman" w:eastAsia="MS Mincho" w:hAnsi="Times New Roman"/>
          <w:color w:val="000000"/>
          <w:sz w:val="28"/>
          <w:szCs w:val="28"/>
          <w:lang w:eastAsia="ja-JP" w:bidi="ug-CN"/>
        </w:rPr>
        <w:t xml:space="preserve">Однак дана проблема носить локальний характер, тоді як </w:t>
      </w:r>
      <w:r w:rsidR="00561EB5" w:rsidRPr="00561EB5">
        <w:rPr>
          <w:rFonts w:ascii="Times New Roman" w:eastAsia="MS Mincho" w:hAnsi="Times New Roman"/>
          <w:color w:val="000000"/>
          <w:sz w:val="28"/>
          <w:szCs w:val="28"/>
          <w:lang w:eastAsia="ja-JP" w:bidi="ug-CN"/>
        </w:rPr>
        <w:t>наразі галузь зіштовхнулась з рядом істотних викликів, які можуть докорінно змінити поточний баланс заготівлі та споживання брухту чорних металів в Україні.</w:t>
      </w:r>
      <w:r w:rsidR="00561EB5" w:rsidRPr="00561EB5">
        <w:t xml:space="preserve"> </w:t>
      </w:r>
      <w:r w:rsidR="00561EB5" w:rsidRPr="00561EB5">
        <w:rPr>
          <w:rFonts w:ascii="Times New Roman" w:eastAsia="MS Mincho" w:hAnsi="Times New Roman"/>
          <w:color w:val="000000"/>
          <w:sz w:val="28"/>
          <w:szCs w:val="28"/>
          <w:lang w:eastAsia="ja-JP" w:bidi="ug-CN"/>
        </w:rPr>
        <w:t>Це передусім:</w:t>
      </w:r>
    </w:p>
    <w:p w:rsidR="00561EB5" w:rsidRPr="00561EB5" w:rsidRDefault="00561EB5"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561EB5">
        <w:rPr>
          <w:rFonts w:ascii="Times New Roman" w:eastAsia="MS Mincho" w:hAnsi="Times New Roman"/>
          <w:color w:val="000000"/>
          <w:sz w:val="28"/>
          <w:szCs w:val="28"/>
          <w:lang w:eastAsia="ja-JP" w:bidi="ug-CN"/>
        </w:rPr>
        <w:t>­</w:t>
      </w:r>
      <w:r w:rsidRPr="00561EB5">
        <w:rPr>
          <w:rFonts w:ascii="Times New Roman" w:eastAsia="MS Mincho" w:hAnsi="Times New Roman"/>
          <w:color w:val="000000"/>
          <w:sz w:val="28"/>
          <w:szCs w:val="28"/>
          <w:lang w:eastAsia="ja-JP" w:bidi="ug-CN"/>
        </w:rPr>
        <w:tab/>
        <w:t>продовження військової агресії РФ на Сході країни та, відповідно, Операції об’єднаних сил (ООС), що формує передумови для подальшої мілітаризації економіки й зростання внутрішнього попиту на продукцію ГМК;</w:t>
      </w:r>
    </w:p>
    <w:p w:rsidR="00561EB5" w:rsidRPr="00561EB5" w:rsidRDefault="00561EB5"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561EB5">
        <w:rPr>
          <w:rFonts w:ascii="Times New Roman" w:eastAsia="MS Mincho" w:hAnsi="Times New Roman"/>
          <w:color w:val="000000"/>
          <w:sz w:val="28"/>
          <w:szCs w:val="28"/>
          <w:lang w:eastAsia="ja-JP" w:bidi="ug-CN"/>
        </w:rPr>
        <w:t>­</w:t>
      </w:r>
      <w:r w:rsidRPr="00561EB5">
        <w:rPr>
          <w:rFonts w:ascii="Times New Roman" w:eastAsia="MS Mincho" w:hAnsi="Times New Roman"/>
          <w:color w:val="000000"/>
          <w:sz w:val="28"/>
          <w:szCs w:val="28"/>
          <w:lang w:eastAsia="ja-JP" w:bidi="ug-CN"/>
        </w:rPr>
        <w:tab/>
        <w:t>розгортання торгових війн між основними учасниками світового ринку, у зв’язку з чим стрімко зросли бар’єри для експорту металів з України на ринки США, ЄС і ряду інших країн;</w:t>
      </w:r>
    </w:p>
    <w:p w:rsidR="00561EB5" w:rsidRDefault="00561EB5"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561EB5">
        <w:rPr>
          <w:rFonts w:ascii="Times New Roman" w:eastAsia="MS Mincho" w:hAnsi="Times New Roman"/>
          <w:color w:val="000000"/>
          <w:sz w:val="28"/>
          <w:szCs w:val="28"/>
          <w:lang w:eastAsia="ja-JP" w:bidi="ug-CN"/>
        </w:rPr>
        <w:t>­</w:t>
      </w:r>
      <w:r w:rsidRPr="00561EB5">
        <w:rPr>
          <w:rFonts w:ascii="Times New Roman" w:eastAsia="MS Mincho" w:hAnsi="Times New Roman"/>
          <w:color w:val="000000"/>
          <w:sz w:val="28"/>
          <w:szCs w:val="28"/>
          <w:lang w:eastAsia="ja-JP" w:bidi="ug-CN"/>
        </w:rPr>
        <w:tab/>
        <w:t>стрімкі темпи зростання імпорту чорних металів в Україну, що створює загрозу витіснення вітчизняних металургів з внутрішнього ринку.</w:t>
      </w:r>
    </w:p>
    <w:p w:rsidR="00561EB5" w:rsidRDefault="00F85053"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F85053">
        <w:rPr>
          <w:rFonts w:ascii="Times New Roman" w:eastAsia="MS Mincho" w:hAnsi="Times New Roman"/>
          <w:color w:val="000000"/>
          <w:sz w:val="28"/>
          <w:szCs w:val="28"/>
          <w:lang w:eastAsia="ja-JP" w:bidi="ug-CN"/>
        </w:rPr>
        <w:t xml:space="preserve">Роками накопичувані протиріччя між основними гравцями світового ринку металопродукції зрештою спричинили до розгортання </w:t>
      </w:r>
      <w:r>
        <w:rPr>
          <w:rFonts w:ascii="Times New Roman" w:eastAsia="MS Mincho" w:hAnsi="Times New Roman"/>
          <w:color w:val="000000"/>
          <w:sz w:val="28"/>
          <w:szCs w:val="28"/>
          <w:lang w:eastAsia="ja-JP" w:bidi="ug-CN"/>
        </w:rPr>
        <w:t xml:space="preserve">світової </w:t>
      </w:r>
      <w:r w:rsidRPr="00F85053">
        <w:rPr>
          <w:rFonts w:ascii="Times New Roman" w:eastAsia="MS Mincho" w:hAnsi="Times New Roman"/>
          <w:color w:val="000000"/>
          <w:sz w:val="28"/>
          <w:szCs w:val="28"/>
          <w:lang w:eastAsia="ja-JP" w:bidi="ug-CN"/>
        </w:rPr>
        <w:t>торгової війни, початок якої пов’язують із введенням Сполученими Штатами ввізного мита в 25% на сталь 26 березня 2018 р. Цей захід практично миттєво призвів до ескалації протекціонізму у всьому світі в міру того, як інші великі країни-виробники сталі (передусім ЄС, Китай, Туреччина) почали запроваджувати обмеження на імпорт у відповідь. Так, країни ЄС уже 19 серпня 2018 р. запровадили глобальні тарифні квоти на металопродукції й встановили мито в 25% поза межами квоти. Таким же шляхом пішла Туреччина 17 жовтня 2018 року</w:t>
      </w:r>
      <w:r>
        <w:rPr>
          <w:rFonts w:ascii="Times New Roman" w:eastAsia="MS Mincho" w:hAnsi="Times New Roman"/>
          <w:color w:val="000000"/>
          <w:sz w:val="28"/>
          <w:szCs w:val="28"/>
          <w:lang w:eastAsia="ja-JP" w:bidi="ug-CN"/>
        </w:rPr>
        <w:t>.</w:t>
      </w:r>
    </w:p>
    <w:p w:rsidR="00F85053" w:rsidRDefault="00F85053"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F85053">
        <w:rPr>
          <w:rFonts w:ascii="Times New Roman" w:eastAsia="MS Mincho" w:hAnsi="Times New Roman"/>
          <w:color w:val="000000"/>
          <w:sz w:val="28"/>
          <w:szCs w:val="28"/>
          <w:lang w:eastAsia="ja-JP" w:bidi="ug-CN"/>
        </w:rPr>
        <w:t xml:space="preserve">Необхідно зазначити, що торгівля чорними металами і виробами з них уже довгий час залишається чутливим питанням міжнародних економічних відносин, у зв’язку з чим низка торгових обмежень на відповідну продукцію українського виробництва діє впродовж тривалого періоду часу. Однак раніше ці заходи мали точковий характер і набували форми антидемпінгових обмежень щодо окремих виробників в країні. Принциповою відмінністю новітнього витка протекціонізму є його глобальний характер: всі обмежувальні заходи на чорні метали відтепер вводяться одразу відносно всіх виробників з усіх країн світу. Відтак вітчизняні виробники стають заручниками й супутніми жертвами боротьби між основними світовими </w:t>
      </w:r>
      <w:r w:rsidRPr="00F85053">
        <w:rPr>
          <w:rFonts w:ascii="Times New Roman" w:eastAsia="MS Mincho" w:hAnsi="Times New Roman"/>
          <w:color w:val="000000"/>
          <w:sz w:val="28"/>
          <w:szCs w:val="28"/>
          <w:lang w:eastAsia="ja-JP" w:bidi="ug-CN"/>
        </w:rPr>
        <w:lastRenderedPageBreak/>
        <w:t>виробниками металопродукції.</w:t>
      </w:r>
    </w:p>
    <w:p w:rsidR="00F85053" w:rsidRDefault="00F85053"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F85053">
        <w:rPr>
          <w:rFonts w:ascii="Times New Roman" w:eastAsia="MS Mincho" w:hAnsi="Times New Roman"/>
          <w:color w:val="000000"/>
          <w:sz w:val="28"/>
          <w:szCs w:val="28"/>
          <w:lang w:eastAsia="ja-JP" w:bidi="ug-CN"/>
        </w:rPr>
        <w:t>Вітчизняна комерційна дипломатія не впоралась із завданням вивести Україну з-під удару новими протекціоністськими заходами зі сторони провідних світових учасників ринку металопродукції. Не останню роль у цьому відіграла слабкість інституту торгового представництва в Україні, однак основний фактор – це істотний надлишок виробничих потужностей ГМК у світі. За даними Всесвітньої асоціації виробників сталі, внаслідок подвоєння потужностей з виробництва металопродукції в Китаї у період буму 2005-2011 рр. вже у 2017 р. світові виробничі потужності ГМК використовуються лише на 75%.</w:t>
      </w:r>
    </w:p>
    <w:p w:rsidR="00606D71" w:rsidRPr="00606D71" w:rsidRDefault="00606D7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606D71">
        <w:rPr>
          <w:rFonts w:ascii="Times New Roman" w:eastAsia="MS Mincho" w:hAnsi="Times New Roman"/>
          <w:color w:val="000000"/>
          <w:sz w:val="28"/>
          <w:szCs w:val="28"/>
          <w:lang w:eastAsia="ja-JP" w:bidi="ug-CN"/>
        </w:rPr>
        <w:t xml:space="preserve">У відповідь на цей виклик більшість країн намагаються обмежити імпорт (звідси й розгортання торгових війн) та розширити ринки збуту металопродукції для того, щоб відновити хоча б докризовий рівень завантаженості виробничих потужностей ГМК, який у середньому по світу сягав 86% в середині 2000-х років. За даними Всесвітньої асоціації виробників сталі, в найближчі роки глобальний попит на сталь зростатиме всього на 1% на рік, відтак відновлення колишнього рівня завантаженості виробничих потужностей </w:t>
      </w:r>
      <w:r>
        <w:rPr>
          <w:rFonts w:ascii="Times New Roman" w:eastAsia="MS Mincho" w:hAnsi="Times New Roman"/>
          <w:color w:val="000000"/>
          <w:sz w:val="28"/>
          <w:szCs w:val="28"/>
          <w:lang w:eastAsia="ja-JP" w:bidi="ug-CN"/>
        </w:rPr>
        <w:t xml:space="preserve">можливе </w:t>
      </w:r>
      <w:r w:rsidRPr="00606D71">
        <w:rPr>
          <w:rFonts w:ascii="Times New Roman" w:eastAsia="MS Mincho" w:hAnsi="Times New Roman"/>
          <w:color w:val="000000"/>
          <w:sz w:val="28"/>
          <w:szCs w:val="28"/>
          <w:lang w:eastAsia="ja-JP" w:bidi="ug-CN"/>
        </w:rPr>
        <w:t>за рахунок нарощення поставок до тих країн-виробників металопродукції, які не ввели обмежувальних заходів.</w:t>
      </w:r>
    </w:p>
    <w:p w:rsidR="00606D71" w:rsidRPr="00606D71" w:rsidRDefault="00606D7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606D71">
        <w:rPr>
          <w:rFonts w:ascii="Times New Roman" w:eastAsia="MS Mincho" w:hAnsi="Times New Roman"/>
          <w:color w:val="000000"/>
          <w:sz w:val="28"/>
          <w:szCs w:val="28"/>
          <w:lang w:eastAsia="ja-JP" w:bidi="ug-CN"/>
        </w:rPr>
        <w:t xml:space="preserve">До таких країн належить, зокрема, Україна, де протягом останнього часу спостерігається стрімке зростання імпорту чорних металів та виробів з них порівняно з експортом. Так, обсяги імпорту в Україну продукції за кодами 72 та 73 за УКТЗЕД протягом січня-жовтня 2018 р. склали 20,7% від обсягів аналогічної продукції вітчизняного виробництва, яка пішла на експорт, тоді як ще у 2015 р. даний показник складав всього 13,4%. </w:t>
      </w:r>
      <w:r w:rsidR="00F8797E">
        <w:rPr>
          <w:rFonts w:ascii="Times New Roman" w:eastAsia="MS Mincho" w:hAnsi="Times New Roman"/>
          <w:color w:val="000000"/>
          <w:sz w:val="28"/>
          <w:szCs w:val="28"/>
          <w:lang w:eastAsia="ja-JP" w:bidi="ug-CN"/>
        </w:rPr>
        <w:t>З</w:t>
      </w:r>
      <w:r w:rsidRPr="00606D71">
        <w:rPr>
          <w:rFonts w:ascii="Times New Roman" w:eastAsia="MS Mincho" w:hAnsi="Times New Roman"/>
          <w:color w:val="000000"/>
          <w:sz w:val="28"/>
          <w:szCs w:val="28"/>
          <w:lang w:eastAsia="ja-JP" w:bidi="ug-CN"/>
        </w:rPr>
        <w:t>ростання імпорту відбувається випереджальними темпами, особливо стрімко у січні-жовтні 2018 р. зростав імпорт чорних металів з Білорусі (156,1%), Туреччини (87,1%) і виробів з чорних металів з Китаю (60,4%).</w:t>
      </w:r>
    </w:p>
    <w:p w:rsidR="00606D71" w:rsidRDefault="00606D71" w:rsidP="00B94141">
      <w:pPr>
        <w:widowControl w:val="0"/>
        <w:tabs>
          <w:tab w:val="left" w:pos="993"/>
        </w:tabs>
        <w:autoSpaceDE w:val="0"/>
        <w:autoSpaceDN w:val="0"/>
        <w:adjustRightInd w:val="0"/>
        <w:spacing w:after="0"/>
        <w:ind w:firstLine="567"/>
        <w:jc w:val="both"/>
        <w:rPr>
          <w:rFonts w:ascii="Times New Roman" w:eastAsia="MS Mincho" w:hAnsi="Times New Roman"/>
          <w:color w:val="000000"/>
          <w:sz w:val="28"/>
          <w:szCs w:val="28"/>
          <w:lang w:eastAsia="ja-JP" w:bidi="ug-CN"/>
        </w:rPr>
      </w:pPr>
      <w:r w:rsidRPr="00606D71">
        <w:rPr>
          <w:rFonts w:ascii="Times New Roman" w:eastAsia="MS Mincho" w:hAnsi="Times New Roman"/>
          <w:color w:val="000000"/>
          <w:sz w:val="28"/>
          <w:szCs w:val="28"/>
          <w:lang w:eastAsia="ja-JP" w:bidi="ug-CN"/>
        </w:rPr>
        <w:t>Поряд з цим на увагу заслуговує ще одна важлива глобальна тенденція в ГМК, на якій наголошує Всесвітня асоціація виробників сталі, – металобрухт впевнено витісняє залізну руду як базову сировину у виробництві сталі. Кожна тонна обробленого брухту економить 1,5 т CO2, 1,4 т залізної руди та 740 кг вугілля; переробка брухту на сталь потребує лише 1/3 затрат енергії порівняно з виробництвом сталі з первинної сировини. Зазначені переваги у поєднанні зі стрімким зростанням обсягів легкодоступного брухту у світі уже найближчим часом обумовлять активне зростання попиту на нього зі сторони країн-світових виробників.</w:t>
      </w:r>
    </w:p>
    <w:p w:rsidR="004B02A8" w:rsidRPr="004B02A8" w:rsidRDefault="004B02A8"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4B02A8">
        <w:rPr>
          <w:rFonts w:ascii="Times New Roman" w:eastAsia="MS Mincho" w:hAnsi="Times New Roman"/>
          <w:color w:val="000000"/>
          <w:sz w:val="28"/>
          <w:szCs w:val="28"/>
          <w:lang w:eastAsia="ja-JP" w:bidi="ug-CN"/>
        </w:rPr>
        <w:lastRenderedPageBreak/>
        <w:t>З огляду на зазначені проблеми і виклики глобального характеру, можна зробити наступні висновки:</w:t>
      </w:r>
    </w:p>
    <w:p w:rsidR="004B02A8" w:rsidRPr="004B02A8" w:rsidRDefault="004B02A8"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4B02A8">
        <w:rPr>
          <w:rFonts w:ascii="Times New Roman" w:eastAsia="MS Mincho" w:hAnsi="Times New Roman"/>
          <w:color w:val="000000"/>
          <w:sz w:val="28"/>
          <w:szCs w:val="28"/>
          <w:lang w:eastAsia="ja-JP" w:bidi="ug-CN"/>
        </w:rPr>
        <w:t>­</w:t>
      </w:r>
      <w:r w:rsidRPr="004B02A8">
        <w:rPr>
          <w:rFonts w:ascii="Times New Roman" w:eastAsia="MS Mincho" w:hAnsi="Times New Roman"/>
          <w:color w:val="000000"/>
          <w:sz w:val="28"/>
          <w:szCs w:val="28"/>
          <w:lang w:eastAsia="ja-JP" w:bidi="ug-CN"/>
        </w:rPr>
        <w:tab/>
        <w:t>припинення дії підвищеного вивізного мита на брухт чорних металів у січні 2019 р</w:t>
      </w:r>
      <w:r>
        <w:rPr>
          <w:rFonts w:ascii="Times New Roman" w:eastAsia="MS Mincho" w:hAnsi="Times New Roman"/>
          <w:color w:val="000000"/>
          <w:sz w:val="28"/>
          <w:szCs w:val="28"/>
          <w:lang w:eastAsia="ja-JP" w:bidi="ug-CN"/>
        </w:rPr>
        <w:t xml:space="preserve">оку, як це передбачено діючим Законом </w:t>
      </w:r>
      <w:r w:rsidRPr="004B02A8">
        <w:rPr>
          <w:rFonts w:ascii="Times New Roman" w:eastAsia="MS Mincho" w:hAnsi="Times New Roman"/>
          <w:color w:val="000000"/>
          <w:sz w:val="28"/>
          <w:szCs w:val="28"/>
          <w:lang w:eastAsia="ja-JP" w:bidi="ug-CN"/>
        </w:rPr>
        <w:t>№1455-VII від 12 липня 2016</w:t>
      </w:r>
      <w:r w:rsidR="00AC04A1">
        <w:rPr>
          <w:rFonts w:ascii="Times New Roman" w:eastAsia="MS Mincho" w:hAnsi="Times New Roman"/>
          <w:color w:val="000000"/>
          <w:sz w:val="28"/>
          <w:szCs w:val="28"/>
          <w:lang w:eastAsia="ja-JP" w:bidi="ug-CN"/>
        </w:rPr>
        <w:t xml:space="preserve"> </w:t>
      </w:r>
      <w:r w:rsidRPr="004B02A8">
        <w:rPr>
          <w:rFonts w:ascii="Times New Roman" w:eastAsia="MS Mincho" w:hAnsi="Times New Roman"/>
          <w:color w:val="000000"/>
          <w:sz w:val="28"/>
          <w:szCs w:val="28"/>
          <w:lang w:eastAsia="ja-JP" w:bidi="ug-CN"/>
        </w:rPr>
        <w:t>року</w:t>
      </w:r>
      <w:r w:rsidR="00AC04A1">
        <w:rPr>
          <w:rFonts w:ascii="Times New Roman" w:eastAsia="MS Mincho" w:hAnsi="Times New Roman"/>
          <w:color w:val="000000"/>
          <w:sz w:val="28"/>
          <w:szCs w:val="28"/>
          <w:lang w:eastAsia="ja-JP" w:bidi="ug-CN"/>
        </w:rPr>
        <w:t>,</w:t>
      </w:r>
      <w:r w:rsidRPr="004B02A8">
        <w:rPr>
          <w:rFonts w:ascii="Times New Roman" w:hAnsi="Times New Roman"/>
          <w:b/>
          <w:bCs/>
          <w:color w:val="000000"/>
          <w:sz w:val="24"/>
          <w:szCs w:val="24"/>
          <w:shd w:val="clear" w:color="auto" w:fill="FFFFFF"/>
          <w:lang w:val="ru-RU" w:eastAsia="ru-RU"/>
        </w:rPr>
        <w:t> </w:t>
      </w:r>
      <w:r w:rsidRPr="004B02A8">
        <w:rPr>
          <w:rFonts w:ascii="Times New Roman" w:eastAsia="MS Mincho" w:hAnsi="Times New Roman"/>
          <w:color w:val="000000"/>
          <w:sz w:val="28"/>
          <w:szCs w:val="28"/>
          <w:lang w:eastAsia="ja-JP" w:bidi="ug-CN"/>
        </w:rPr>
        <w:t>матиме наслідком стрімке зростання обсягів його експорту внаслідок активної переорієнтації світових виробників металопродукції на брухт як основну сировину у виготовленні сталі;</w:t>
      </w:r>
    </w:p>
    <w:p w:rsidR="00F85053" w:rsidRDefault="004B02A8"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4B02A8">
        <w:rPr>
          <w:rFonts w:ascii="Times New Roman" w:eastAsia="MS Mincho" w:hAnsi="Times New Roman"/>
          <w:color w:val="000000"/>
          <w:sz w:val="28"/>
          <w:szCs w:val="28"/>
          <w:lang w:eastAsia="ja-JP" w:bidi="ug-CN"/>
        </w:rPr>
        <w:t>­</w:t>
      </w:r>
      <w:r w:rsidRPr="004B02A8">
        <w:rPr>
          <w:rFonts w:ascii="Times New Roman" w:eastAsia="MS Mincho" w:hAnsi="Times New Roman"/>
          <w:color w:val="000000"/>
          <w:sz w:val="28"/>
          <w:szCs w:val="28"/>
          <w:lang w:eastAsia="ja-JP" w:bidi="ug-CN"/>
        </w:rPr>
        <w:tab/>
        <w:t xml:space="preserve">зіштовхнувшись зі зростаючим дефіцитом брухту вітчизняної заготівлі українські металурги будуть змушені використовувати </w:t>
      </w:r>
      <w:r w:rsidR="00385609">
        <w:rPr>
          <w:rFonts w:ascii="Times New Roman" w:eastAsia="MS Mincho" w:hAnsi="Times New Roman"/>
          <w:color w:val="000000"/>
          <w:sz w:val="28"/>
          <w:szCs w:val="28"/>
          <w:lang w:eastAsia="ja-JP" w:bidi="ug-CN"/>
        </w:rPr>
        <w:t xml:space="preserve">більш </w:t>
      </w:r>
      <w:r w:rsidRPr="004B02A8">
        <w:rPr>
          <w:rFonts w:ascii="Times New Roman" w:eastAsia="MS Mincho" w:hAnsi="Times New Roman"/>
          <w:color w:val="000000"/>
          <w:sz w:val="28"/>
          <w:szCs w:val="28"/>
          <w:lang w:eastAsia="ja-JP" w:bidi="ug-CN"/>
        </w:rPr>
        <w:t>енерго</w:t>
      </w:r>
      <w:r w:rsidR="00385609">
        <w:rPr>
          <w:rFonts w:ascii="Times New Roman" w:eastAsia="MS Mincho" w:hAnsi="Times New Roman"/>
          <w:color w:val="000000"/>
          <w:sz w:val="28"/>
          <w:szCs w:val="28"/>
          <w:lang w:eastAsia="ja-JP" w:bidi="ug-CN"/>
        </w:rPr>
        <w:t>витратну</w:t>
      </w:r>
      <w:r w:rsidRPr="004B02A8">
        <w:rPr>
          <w:rFonts w:ascii="Times New Roman" w:eastAsia="MS Mincho" w:hAnsi="Times New Roman"/>
          <w:color w:val="000000"/>
          <w:sz w:val="28"/>
          <w:szCs w:val="28"/>
          <w:lang w:eastAsia="ja-JP" w:bidi="ug-CN"/>
        </w:rPr>
        <w:t xml:space="preserve"> та дорожчу сировину для виробництва сталі, все більше втрачаючи позиції на зовнішньому і внутрішньому ринках, з яких їх швидко витіснятимуть іноземні конкуренти за умов загостреної конкурентної боротьби, спричиненої надлишком виробничих потужностей і розгортанням торгових війн.</w:t>
      </w:r>
    </w:p>
    <w:p w:rsidR="00385609" w:rsidRDefault="00A02A4D"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0C1055">
        <w:rPr>
          <w:rFonts w:ascii="Times New Roman" w:eastAsia="MS Mincho" w:hAnsi="Times New Roman"/>
          <w:color w:val="000000"/>
          <w:sz w:val="28"/>
          <w:szCs w:val="28"/>
          <w:lang w:eastAsia="ja-JP" w:bidi="ug-CN"/>
        </w:rPr>
        <w:t>Державним науково-дослідним інститутом інформатизації та моделювання економіки з метою</w:t>
      </w:r>
      <w:r w:rsidR="00385609" w:rsidRPr="00385609">
        <w:t xml:space="preserve"> </w:t>
      </w:r>
      <w:r w:rsidR="00385609" w:rsidRPr="00385609">
        <w:rPr>
          <w:rFonts w:ascii="Times New Roman" w:eastAsia="MS Mincho" w:hAnsi="Times New Roman"/>
          <w:color w:val="000000"/>
          <w:sz w:val="28"/>
          <w:szCs w:val="28"/>
          <w:lang w:eastAsia="ja-JP" w:bidi="ug-CN"/>
        </w:rPr>
        <w:t xml:space="preserve">визначення середньострокових перспектив заготівлі та експорту брухту чорних металів в Україні з огляду на поточний рівень експортних цін (324,1 </w:t>
      </w:r>
      <w:proofErr w:type="spellStart"/>
      <w:r w:rsidR="00385609" w:rsidRPr="00385609">
        <w:rPr>
          <w:rFonts w:ascii="Times New Roman" w:eastAsia="MS Mincho" w:hAnsi="Times New Roman"/>
          <w:color w:val="000000"/>
          <w:sz w:val="28"/>
          <w:szCs w:val="28"/>
          <w:lang w:eastAsia="ja-JP" w:bidi="ug-CN"/>
        </w:rPr>
        <w:t>дол</w:t>
      </w:r>
      <w:proofErr w:type="spellEnd"/>
      <w:r w:rsidR="00385609" w:rsidRPr="00385609">
        <w:rPr>
          <w:rFonts w:ascii="Times New Roman" w:eastAsia="MS Mincho" w:hAnsi="Times New Roman"/>
          <w:color w:val="000000"/>
          <w:sz w:val="28"/>
          <w:szCs w:val="28"/>
          <w:lang w:eastAsia="ja-JP" w:bidi="ug-CN"/>
        </w:rPr>
        <w:t>. США/т) та наявні виклики продовження військової агресії проти України, розгортання торгових війн за доступ до сировини й ринки збуту готової продукції в металургійній галузі, проведено економіко-математичне моделювання в системі GTAP за наступними сценаріями:</w:t>
      </w:r>
    </w:p>
    <w:p w:rsidR="008327AD" w:rsidRPr="008327AD" w:rsidRDefault="008327AD"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8327AD">
        <w:rPr>
          <w:rFonts w:ascii="Times New Roman" w:eastAsia="MS Mincho" w:hAnsi="Times New Roman"/>
          <w:color w:val="000000"/>
          <w:sz w:val="28"/>
          <w:szCs w:val="28"/>
          <w:lang w:eastAsia="ja-JP" w:bidi="ug-CN"/>
        </w:rPr>
        <w:t>Сценарій 1 – заборона експорту брухту чорних металів.</w:t>
      </w:r>
    </w:p>
    <w:p w:rsidR="008327AD" w:rsidRPr="008327AD" w:rsidRDefault="008327AD"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8327AD">
        <w:rPr>
          <w:rFonts w:ascii="Times New Roman" w:eastAsia="MS Mincho" w:hAnsi="Times New Roman"/>
          <w:color w:val="000000"/>
          <w:sz w:val="28"/>
          <w:szCs w:val="28"/>
          <w:lang w:eastAsia="ja-JP" w:bidi="ug-CN"/>
        </w:rPr>
        <w:t>Сценарій 2 – підвищення вивізного мита на металобрухт до 58 євро/т, що еквівалентно 20% від середньої вартості експорту однієї тони брухту у січні-жовтні 2018 р.</w:t>
      </w:r>
    </w:p>
    <w:p w:rsidR="008327AD" w:rsidRPr="008327AD" w:rsidRDefault="008327AD"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8327AD">
        <w:rPr>
          <w:rFonts w:ascii="Times New Roman" w:eastAsia="MS Mincho" w:hAnsi="Times New Roman"/>
          <w:color w:val="000000"/>
          <w:sz w:val="28"/>
          <w:szCs w:val="28"/>
          <w:lang w:eastAsia="ja-JP" w:bidi="ug-CN"/>
        </w:rPr>
        <w:t>Сценарій 3 – збереження дії вивізного мита на брухт на рівні 42 євро/т.</w:t>
      </w:r>
    </w:p>
    <w:p w:rsidR="008327AD" w:rsidRPr="008327AD" w:rsidRDefault="008327AD"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8327AD">
        <w:rPr>
          <w:rFonts w:ascii="Times New Roman" w:eastAsia="MS Mincho" w:hAnsi="Times New Roman"/>
          <w:color w:val="000000"/>
          <w:sz w:val="28"/>
          <w:szCs w:val="28"/>
          <w:lang w:eastAsia="ja-JP" w:bidi="ug-CN"/>
        </w:rPr>
        <w:t>Сценарій 4 – повернення до вивізного мита на брухт на рівні 30 євро/т.</w:t>
      </w:r>
    </w:p>
    <w:p w:rsidR="001E1D80" w:rsidRDefault="008327AD" w:rsidP="00AC04A1">
      <w:pPr>
        <w:widowControl w:val="0"/>
        <w:tabs>
          <w:tab w:val="left" w:pos="993"/>
        </w:tabs>
        <w:autoSpaceDE w:val="0"/>
        <w:autoSpaceDN w:val="0"/>
        <w:adjustRightInd w:val="0"/>
        <w:spacing w:before="120" w:after="0"/>
        <w:ind w:firstLine="567"/>
        <w:jc w:val="both"/>
        <w:rPr>
          <w:rFonts w:ascii="Times New Roman" w:eastAsia="MS Mincho" w:hAnsi="Times New Roman"/>
          <w:color w:val="000000"/>
          <w:sz w:val="28"/>
          <w:szCs w:val="28"/>
          <w:lang w:eastAsia="ja-JP" w:bidi="ug-CN"/>
        </w:rPr>
      </w:pPr>
      <w:r w:rsidRPr="008327AD">
        <w:rPr>
          <w:rFonts w:ascii="Times New Roman" w:eastAsia="MS Mincho" w:hAnsi="Times New Roman"/>
          <w:color w:val="000000"/>
          <w:sz w:val="28"/>
          <w:szCs w:val="28"/>
          <w:lang w:eastAsia="ja-JP" w:bidi="ug-CN"/>
        </w:rPr>
        <w:t>Сценарій 5 – повернення до вивізного мита на брухт на рівні 10 євро/т.</w:t>
      </w:r>
    </w:p>
    <w:p w:rsidR="00AC04A1" w:rsidRPr="001E1D80" w:rsidRDefault="00AC04A1" w:rsidP="00B94141">
      <w:pPr>
        <w:widowControl w:val="0"/>
        <w:tabs>
          <w:tab w:val="left" w:pos="993"/>
        </w:tabs>
        <w:autoSpaceDE w:val="0"/>
        <w:autoSpaceDN w:val="0"/>
        <w:adjustRightInd w:val="0"/>
        <w:spacing w:after="0"/>
        <w:ind w:firstLine="567"/>
        <w:jc w:val="both"/>
        <w:rPr>
          <w:rFonts w:ascii="Times New Roman" w:eastAsia="MS Mincho" w:hAnsi="Times New Roman"/>
          <w:color w:val="000000"/>
          <w:sz w:val="28"/>
          <w:szCs w:val="28"/>
          <w:lang w:eastAsia="ja-JP" w:bidi="ug-CN"/>
        </w:rPr>
      </w:pPr>
    </w:p>
    <w:p w:rsidR="001E1D80" w:rsidRDefault="001E1D80" w:rsidP="00B94141">
      <w:pPr>
        <w:pStyle w:val="TimesNewRoman"/>
        <w:spacing w:line="276" w:lineRule="auto"/>
        <w:ind w:right="-2"/>
        <w:jc w:val="both"/>
        <w:rPr>
          <w:lang w:val="uk-UA"/>
        </w:rPr>
      </w:pPr>
      <w:r>
        <w:rPr>
          <w:rFonts w:eastAsia="MS Mincho"/>
          <w:noProof/>
          <w:szCs w:val="28"/>
          <w:lang w:val="uk-UA" w:eastAsia="uk-UA"/>
        </w:rPr>
        <w:lastRenderedPageBreak/>
        <w:drawing>
          <wp:inline distT="0" distB="0" distL="0" distR="0" wp14:anchorId="509FEB13" wp14:editId="220A2034">
            <wp:extent cx="2952000" cy="2038350"/>
            <wp:effectExtent l="0" t="0" r="7620" b="635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B27B09" w:rsidRPr="00CC7D42">
        <w:rPr>
          <w:rFonts w:eastAsia="MS Mincho"/>
          <w:noProof/>
          <w:szCs w:val="28"/>
          <w:lang w:val="uk-UA" w:eastAsia="uk-UA"/>
        </w:rPr>
        <w:drawing>
          <wp:inline distT="0" distB="0" distL="0" distR="0" wp14:anchorId="4B4556D3" wp14:editId="3E20B6CB">
            <wp:extent cx="2952000" cy="2038350"/>
            <wp:effectExtent l="0" t="0" r="7620" b="635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E1D80" w:rsidRDefault="00B27B09" w:rsidP="00B94141">
      <w:pPr>
        <w:pStyle w:val="TimesNewRoman"/>
        <w:spacing w:line="276" w:lineRule="auto"/>
        <w:ind w:right="-2"/>
        <w:jc w:val="both"/>
        <w:rPr>
          <w:lang w:val="uk-UA"/>
        </w:rPr>
      </w:pPr>
      <w:r w:rsidRPr="00CC7D42">
        <w:rPr>
          <w:rFonts w:eastAsia="MS Mincho"/>
          <w:noProof/>
          <w:szCs w:val="28"/>
          <w:lang w:val="uk-UA" w:eastAsia="uk-UA"/>
        </w:rPr>
        <w:drawing>
          <wp:inline distT="0" distB="0" distL="0" distR="0" wp14:anchorId="317E964C" wp14:editId="6058BDD8">
            <wp:extent cx="2952000" cy="2038350"/>
            <wp:effectExtent l="0" t="0" r="7620" b="635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CC7D42">
        <w:rPr>
          <w:rFonts w:eastAsia="MS Mincho"/>
          <w:noProof/>
          <w:szCs w:val="28"/>
          <w:lang w:val="uk-UA" w:eastAsia="uk-UA"/>
        </w:rPr>
        <w:drawing>
          <wp:inline distT="0" distB="0" distL="0" distR="0" wp14:anchorId="2368B30B" wp14:editId="02A97635">
            <wp:extent cx="2952000" cy="2038350"/>
            <wp:effectExtent l="0" t="0" r="7620" b="635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E1D80" w:rsidRDefault="00B27B09" w:rsidP="00B94141">
      <w:pPr>
        <w:pStyle w:val="TimesNewRoman"/>
        <w:spacing w:line="276" w:lineRule="auto"/>
        <w:ind w:right="-2"/>
        <w:jc w:val="both"/>
        <w:rPr>
          <w:lang w:val="uk-UA"/>
        </w:rPr>
      </w:pPr>
      <w:r w:rsidRPr="00CC7D42">
        <w:rPr>
          <w:rFonts w:eastAsia="MS Mincho"/>
          <w:noProof/>
          <w:szCs w:val="28"/>
          <w:lang w:val="uk-UA" w:eastAsia="uk-UA"/>
        </w:rPr>
        <w:drawing>
          <wp:inline distT="0" distB="0" distL="0" distR="0" wp14:anchorId="04321BE1" wp14:editId="11642CA8">
            <wp:extent cx="2952000" cy="2038350"/>
            <wp:effectExtent l="0" t="0" r="7620" b="635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eastAsia="MS Mincho"/>
          <w:noProof/>
          <w:szCs w:val="28"/>
          <w:lang w:val="uk-UA" w:eastAsia="uk-UA"/>
        </w:rPr>
        <w:drawing>
          <wp:inline distT="0" distB="0" distL="0" distR="0" wp14:anchorId="24EA20C1" wp14:editId="44F7614F">
            <wp:extent cx="2952000" cy="2038350"/>
            <wp:effectExtent l="0" t="0" r="7620" b="635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E1D80" w:rsidRDefault="001E1D80" w:rsidP="00B94141">
      <w:pPr>
        <w:pStyle w:val="TimesNewRoman"/>
        <w:spacing w:line="276" w:lineRule="auto"/>
        <w:ind w:right="-2" w:firstLine="567"/>
        <w:jc w:val="both"/>
        <w:rPr>
          <w:lang w:val="uk-UA"/>
        </w:rPr>
      </w:pPr>
    </w:p>
    <w:p w:rsidR="00DA2FFC" w:rsidRDefault="00DA2FFC" w:rsidP="00B94141">
      <w:pPr>
        <w:pStyle w:val="TimesNewRoman"/>
        <w:spacing w:line="276" w:lineRule="auto"/>
        <w:ind w:right="-2" w:firstLine="567"/>
        <w:jc w:val="both"/>
        <w:rPr>
          <w:lang w:val="uk-UA"/>
        </w:rPr>
      </w:pPr>
      <w:r>
        <w:rPr>
          <w:lang w:val="uk-UA"/>
        </w:rPr>
        <w:t>Так, збереження вивізного мита на рівні 42 євро/т дозволить прискорити темп зростання ВВП на 0,04 в. п., насамперед завдяки незначному збільшенню виробництва чорних металів та скороченню імпорту брухту. Заготівля брухту залишатиметься на незмінному рівні, його експорт надалі незначно скорочуватиметься (-6,5%). Це дозволить дещо збільшити його внутрішні поставки (0,4%) й зберегти дефіцитність брухту на порівняно низькому рівні (1,9%). Коливання рівня зайнятості при цьому будуть вкрай незначними (0,02 в. п.).</w:t>
      </w:r>
    </w:p>
    <w:p w:rsidR="00DA2FFC" w:rsidRDefault="00DA2FFC" w:rsidP="00AC04A1">
      <w:pPr>
        <w:pStyle w:val="TimesNewRoman"/>
        <w:spacing w:before="120" w:line="276" w:lineRule="auto"/>
        <w:ind w:firstLine="567"/>
        <w:jc w:val="both"/>
        <w:rPr>
          <w:lang w:val="uk-UA"/>
        </w:rPr>
      </w:pPr>
      <w:r>
        <w:rPr>
          <w:lang w:val="uk-UA"/>
        </w:rPr>
        <w:t xml:space="preserve">При повній забороні експорту металобрухту зростання ВВП за рахунок цього заходу очікується на рівні 0,17 в. п. Якщо ціни на зовнішніх ринках перевищуватимуть внутрішні, заготівля брухту може скоротитись на 5,2%. </w:t>
      </w:r>
      <w:r>
        <w:rPr>
          <w:lang w:val="uk-UA"/>
        </w:rPr>
        <w:lastRenderedPageBreak/>
        <w:t xml:space="preserve">Внутрішні поставки брухту зростуть на 11,1%, що дозволить повністю подолати його дефіцит й забезпечити зростання рівня зайнятості на 0,19 в. п. </w:t>
      </w:r>
    </w:p>
    <w:p w:rsidR="00DA2FFC" w:rsidRDefault="00DA2FFC" w:rsidP="00AC04A1">
      <w:pPr>
        <w:pStyle w:val="TimesNewRoman"/>
        <w:spacing w:before="120" w:line="276" w:lineRule="auto"/>
        <w:ind w:firstLine="567"/>
        <w:jc w:val="both"/>
        <w:rPr>
          <w:lang w:val="uk-UA"/>
        </w:rPr>
      </w:pPr>
      <w:r>
        <w:rPr>
          <w:lang w:val="uk-UA"/>
        </w:rPr>
        <w:t xml:space="preserve">За умови зниження ставки вивізного мита на брухт до 30 або 10 євро/т </w:t>
      </w:r>
      <w:proofErr w:type="spellStart"/>
      <w:r>
        <w:rPr>
          <w:lang w:val="uk-UA"/>
        </w:rPr>
        <w:t>спостерігатимуться</w:t>
      </w:r>
      <w:proofErr w:type="spellEnd"/>
      <w:r>
        <w:rPr>
          <w:lang w:val="uk-UA"/>
        </w:rPr>
        <w:t xml:space="preserve"> негативні наслідки для вітчизняного ГМК та національної економіки України в цілому. Разом з цим, активізація розглянутих у ІІ розділі глобальних викликів та загроз може призвести до запуску важкопрогнозованих наслідків руйнації металургійної галузі України, аналіз впливу якої потребує подальших досліджень.</w:t>
      </w:r>
    </w:p>
    <w:p w:rsidR="00DA2FFC" w:rsidRDefault="00DA2FFC" w:rsidP="00AC04A1">
      <w:pPr>
        <w:pStyle w:val="TimesNewRoman"/>
        <w:spacing w:before="120" w:line="276" w:lineRule="auto"/>
        <w:ind w:firstLine="567"/>
        <w:jc w:val="both"/>
        <w:rPr>
          <w:lang w:val="uk-UA"/>
        </w:rPr>
      </w:pPr>
      <w:r w:rsidRPr="00B94141">
        <w:rPr>
          <w:lang w:val="uk-UA"/>
        </w:rPr>
        <w:t>Оптимальними вбачаються результати, які виходять із збереження мита на рівні 20% від вартості брухту, що на даний час становить 58 євро/т.</w:t>
      </w:r>
      <w:r>
        <w:rPr>
          <w:lang w:val="uk-UA"/>
        </w:rPr>
        <w:t xml:space="preserve"> За таких умов очікується прискорення зростання ВВП на 0,13 в. п. в результаті  запровадження даного заходу. Заготівля брухту скоротиться лише на 0,7%, експорт – на 16,1%, внутрішні поставки зростуть на 3,6%, рівень дефіцитності металобрухту скоротиться до 0,5% від потреб металургійних підприємств. Рівень зайнятості очікувано збільшіться на 0,06 в. п. </w:t>
      </w:r>
    </w:p>
    <w:p w:rsidR="003A653F" w:rsidRPr="003A653F" w:rsidRDefault="003A653F" w:rsidP="003A653F">
      <w:pPr>
        <w:pStyle w:val="TimesNewRoman"/>
        <w:spacing w:before="120" w:line="276" w:lineRule="auto"/>
        <w:ind w:firstLine="567"/>
        <w:jc w:val="both"/>
        <w:rPr>
          <w:rFonts w:eastAsia="MS Mincho"/>
          <w:color w:val="FF0000"/>
          <w:szCs w:val="28"/>
          <w:lang w:val="uk-UA" w:eastAsia="ja-JP" w:bidi="ug-CN"/>
        </w:rPr>
      </w:pPr>
      <w:r>
        <w:rPr>
          <w:lang w:val="uk-UA"/>
        </w:rPr>
        <w:t>З</w:t>
      </w:r>
      <w:r w:rsidRPr="00B94141">
        <w:rPr>
          <w:lang w:val="uk-UA"/>
        </w:rPr>
        <w:t>береження мита на рівні 20% від вартості брухту</w:t>
      </w:r>
      <w:r>
        <w:rPr>
          <w:rFonts w:eastAsia="MS Mincho"/>
          <w:szCs w:val="28"/>
          <w:lang w:val="uk-UA" w:eastAsia="ja-JP" w:bidi="ug-CN"/>
        </w:rPr>
        <w:t xml:space="preserve"> </w:t>
      </w:r>
      <w:r w:rsidRPr="003A653F">
        <w:rPr>
          <w:rFonts w:eastAsia="MS Mincho"/>
          <w:szCs w:val="28"/>
          <w:lang w:val="uk-UA" w:eastAsia="ja-JP" w:bidi="ug-CN"/>
        </w:rPr>
        <w:t>додатково принесе близько 1,55 млрд грн бюджетних надходжень на рік (прямий фіскальний ефект від підвищення експортного мита (0,58 млрд грн) та податкові надходження від активізації діяльності в металургійній та суміжних галузях (0,97 млрд грн)).</w:t>
      </w:r>
    </w:p>
    <w:p w:rsidR="009638C4" w:rsidRPr="00DA2FFC" w:rsidRDefault="00DA2FFC" w:rsidP="00AC04A1">
      <w:pPr>
        <w:pStyle w:val="TimesNewRoman"/>
        <w:spacing w:before="120" w:line="276" w:lineRule="auto"/>
        <w:ind w:firstLine="567"/>
        <w:jc w:val="both"/>
        <w:rPr>
          <w:lang w:val="uk-UA"/>
        </w:rPr>
      </w:pPr>
      <w:r>
        <w:rPr>
          <w:lang w:val="uk-UA"/>
        </w:rPr>
        <w:t>Важливо відзначити, що прогнозні показники впливу експортних мит на макроекономічні показники національної економіки України передбачають запровадження заходу терміном не менш трьох років.</w:t>
      </w:r>
    </w:p>
    <w:p w:rsidR="0077244D" w:rsidRPr="00D33D9E" w:rsidRDefault="009638C4" w:rsidP="00AC04A1">
      <w:pPr>
        <w:pStyle w:val="TimesNewRoman"/>
        <w:spacing w:before="120" w:line="276" w:lineRule="auto"/>
        <w:ind w:firstLine="567"/>
        <w:jc w:val="both"/>
        <w:rPr>
          <w:rFonts w:eastAsia="MS Mincho"/>
          <w:color w:val="000000"/>
          <w:szCs w:val="28"/>
          <w:lang w:val="ru-RU" w:eastAsia="ja-JP"/>
        </w:rPr>
      </w:pPr>
      <w:r w:rsidRPr="00D33D9E">
        <w:rPr>
          <w:rFonts w:eastAsia="MS Mincho"/>
          <w:color w:val="000000"/>
          <w:szCs w:val="28"/>
          <w:lang w:val="ru-RU" w:eastAsia="ja-JP"/>
        </w:rPr>
        <w:t xml:space="preserve">Таким </w:t>
      </w:r>
      <w:r w:rsidRPr="00AC04A1">
        <w:rPr>
          <w:lang w:val="uk-UA"/>
        </w:rPr>
        <w:t>чином</w:t>
      </w:r>
      <w:r w:rsidRPr="00D33D9E">
        <w:rPr>
          <w:rFonts w:eastAsia="MS Mincho"/>
          <w:color w:val="000000"/>
          <w:szCs w:val="28"/>
          <w:lang w:val="ru-RU" w:eastAsia="ja-JP"/>
        </w:rPr>
        <w:t xml:space="preserve">, з </w:t>
      </w:r>
      <w:proofErr w:type="spellStart"/>
      <w:r w:rsidRPr="00D33D9E">
        <w:rPr>
          <w:rFonts w:eastAsia="MS Mincho"/>
          <w:color w:val="000000"/>
          <w:szCs w:val="28"/>
          <w:lang w:val="ru-RU" w:eastAsia="ja-JP"/>
        </w:rPr>
        <w:t>врахування</w:t>
      </w:r>
      <w:r w:rsidR="006117DF" w:rsidRPr="00D33D9E">
        <w:rPr>
          <w:rFonts w:eastAsia="MS Mincho"/>
          <w:color w:val="000000"/>
          <w:szCs w:val="28"/>
          <w:lang w:val="ru-RU" w:eastAsia="ja-JP"/>
        </w:rPr>
        <w:t>м</w:t>
      </w:r>
      <w:proofErr w:type="spellEnd"/>
      <w:r w:rsidR="006117DF" w:rsidRPr="00D33D9E">
        <w:rPr>
          <w:rFonts w:eastAsia="MS Mincho"/>
          <w:color w:val="000000"/>
          <w:szCs w:val="28"/>
          <w:lang w:val="ru-RU" w:eastAsia="ja-JP"/>
        </w:rPr>
        <w:t xml:space="preserve"> </w:t>
      </w:r>
      <w:proofErr w:type="spellStart"/>
      <w:r w:rsidR="006117DF" w:rsidRPr="00D33D9E">
        <w:rPr>
          <w:rFonts w:eastAsia="MS Mincho"/>
          <w:color w:val="000000"/>
          <w:szCs w:val="28"/>
          <w:lang w:val="ru-RU" w:eastAsia="ja-JP"/>
        </w:rPr>
        <w:t>вищевказаного</w:t>
      </w:r>
      <w:proofErr w:type="spellEnd"/>
      <w:r w:rsidR="006117DF" w:rsidRPr="00D33D9E">
        <w:rPr>
          <w:rFonts w:eastAsia="MS Mincho"/>
          <w:color w:val="000000"/>
          <w:szCs w:val="28"/>
          <w:lang w:val="ru-RU" w:eastAsia="ja-JP"/>
        </w:rPr>
        <w:t>,</w:t>
      </w:r>
      <w:r w:rsidR="005866AE" w:rsidRPr="00D33D9E">
        <w:rPr>
          <w:rFonts w:eastAsia="MS Mincho"/>
          <w:color w:val="000000"/>
          <w:szCs w:val="28"/>
          <w:lang w:val="ru-RU" w:eastAsia="ja-JP"/>
        </w:rPr>
        <w:t xml:space="preserve"> </w:t>
      </w:r>
      <w:proofErr w:type="spellStart"/>
      <w:r w:rsidR="005866AE" w:rsidRPr="00D33D9E">
        <w:rPr>
          <w:rFonts w:eastAsia="MS Mincho"/>
          <w:color w:val="000000"/>
          <w:szCs w:val="28"/>
          <w:lang w:val="ru-RU" w:eastAsia="ja-JP"/>
        </w:rPr>
        <w:t>вважається</w:t>
      </w:r>
      <w:proofErr w:type="spellEnd"/>
      <w:r w:rsidR="005866AE" w:rsidRPr="00D33D9E">
        <w:rPr>
          <w:rFonts w:eastAsia="MS Mincho"/>
          <w:color w:val="000000"/>
          <w:szCs w:val="28"/>
          <w:lang w:val="ru-RU" w:eastAsia="ja-JP"/>
        </w:rPr>
        <w:t xml:space="preserve"> за </w:t>
      </w:r>
      <w:proofErr w:type="spellStart"/>
      <w:r w:rsidR="005866AE" w:rsidRPr="00D33D9E">
        <w:rPr>
          <w:rFonts w:eastAsia="MS Mincho"/>
          <w:color w:val="000000"/>
          <w:szCs w:val="28"/>
          <w:lang w:val="ru-RU" w:eastAsia="ja-JP"/>
        </w:rPr>
        <w:t>доцільне</w:t>
      </w:r>
      <w:proofErr w:type="spellEnd"/>
      <w:r w:rsidR="005866AE" w:rsidRPr="00D33D9E">
        <w:rPr>
          <w:rFonts w:eastAsia="MS Mincho"/>
          <w:color w:val="000000"/>
          <w:szCs w:val="28"/>
          <w:lang w:val="ru-RU" w:eastAsia="ja-JP"/>
        </w:rPr>
        <w:t xml:space="preserve"> </w:t>
      </w:r>
      <w:proofErr w:type="spellStart"/>
      <w:r w:rsidR="005866AE" w:rsidRPr="00D33D9E">
        <w:rPr>
          <w:rFonts w:eastAsia="MS Mincho"/>
          <w:color w:val="000000"/>
          <w:szCs w:val="28"/>
          <w:lang w:val="ru-RU" w:eastAsia="ja-JP"/>
        </w:rPr>
        <w:t>встановлення</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спеціального</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мита</w:t>
      </w:r>
      <w:proofErr w:type="spellEnd"/>
      <w:r w:rsidR="008901A0" w:rsidRPr="00D33D9E">
        <w:rPr>
          <w:rFonts w:eastAsia="MS Mincho"/>
          <w:color w:val="000000"/>
          <w:szCs w:val="28"/>
          <w:lang w:val="ru-RU" w:eastAsia="ja-JP"/>
        </w:rPr>
        <w:t xml:space="preserve"> в </w:t>
      </w:r>
      <w:proofErr w:type="spellStart"/>
      <w:r w:rsidR="008901A0" w:rsidRPr="00D33D9E">
        <w:rPr>
          <w:rFonts w:eastAsia="MS Mincho"/>
          <w:color w:val="000000"/>
          <w:szCs w:val="28"/>
          <w:lang w:val="ru-RU" w:eastAsia="ja-JP"/>
        </w:rPr>
        <w:t>розмірі</w:t>
      </w:r>
      <w:proofErr w:type="spellEnd"/>
      <w:r w:rsidR="008901A0" w:rsidRPr="00D33D9E">
        <w:rPr>
          <w:rFonts w:eastAsia="MS Mincho"/>
          <w:color w:val="000000"/>
          <w:szCs w:val="28"/>
          <w:lang w:val="ru-RU" w:eastAsia="ja-JP"/>
        </w:rPr>
        <w:t xml:space="preserve"> 58 </w:t>
      </w:r>
      <w:proofErr w:type="spellStart"/>
      <w:r w:rsidR="008901A0" w:rsidRPr="00D33D9E">
        <w:rPr>
          <w:rFonts w:eastAsia="MS Mincho"/>
          <w:color w:val="000000"/>
          <w:szCs w:val="28"/>
          <w:lang w:val="ru-RU" w:eastAsia="ja-JP"/>
        </w:rPr>
        <w:t>Євро</w:t>
      </w:r>
      <w:proofErr w:type="spellEnd"/>
      <w:r w:rsidR="008901A0" w:rsidRPr="00D33D9E">
        <w:rPr>
          <w:rFonts w:eastAsia="MS Mincho"/>
          <w:color w:val="000000"/>
          <w:szCs w:val="28"/>
          <w:lang w:val="ru-RU" w:eastAsia="ja-JP"/>
        </w:rPr>
        <w:t xml:space="preserve">/т на </w:t>
      </w:r>
      <w:proofErr w:type="spellStart"/>
      <w:r w:rsidR="008901A0" w:rsidRPr="00D33D9E">
        <w:rPr>
          <w:rFonts w:eastAsia="MS Mincho"/>
          <w:color w:val="000000"/>
          <w:szCs w:val="28"/>
          <w:lang w:val="ru-RU" w:eastAsia="ja-JP"/>
        </w:rPr>
        <w:t>експорт</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брухту</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чорних</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металів</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що</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еквівалентно</w:t>
      </w:r>
      <w:proofErr w:type="spellEnd"/>
      <w:r w:rsidR="008901A0" w:rsidRPr="00D33D9E">
        <w:rPr>
          <w:rFonts w:eastAsia="MS Mincho"/>
          <w:color w:val="000000"/>
          <w:szCs w:val="28"/>
          <w:lang w:val="ru-RU" w:eastAsia="ja-JP"/>
        </w:rPr>
        <w:t xml:space="preserve"> </w:t>
      </w:r>
      <w:proofErr w:type="spellStart"/>
      <w:r w:rsidR="008901A0" w:rsidRPr="00D33D9E">
        <w:rPr>
          <w:rFonts w:eastAsia="MS Mincho"/>
          <w:color w:val="000000"/>
          <w:szCs w:val="28"/>
          <w:lang w:val="ru-RU" w:eastAsia="ja-JP"/>
        </w:rPr>
        <w:t>адвалерному</w:t>
      </w:r>
      <w:proofErr w:type="spellEnd"/>
      <w:r w:rsidR="008901A0" w:rsidRPr="00D33D9E">
        <w:rPr>
          <w:rFonts w:eastAsia="MS Mincho"/>
          <w:color w:val="000000"/>
          <w:szCs w:val="28"/>
          <w:lang w:val="ru-RU" w:eastAsia="ja-JP"/>
        </w:rPr>
        <w:t xml:space="preserve"> </w:t>
      </w:r>
      <w:proofErr w:type="spellStart"/>
      <w:r w:rsidR="003C3786" w:rsidRPr="00D33D9E">
        <w:rPr>
          <w:rFonts w:eastAsia="MS Mincho"/>
          <w:color w:val="000000"/>
          <w:szCs w:val="28"/>
          <w:lang w:val="ru-RU" w:eastAsia="ja-JP"/>
        </w:rPr>
        <w:t>миту</w:t>
      </w:r>
      <w:proofErr w:type="spellEnd"/>
      <w:r w:rsidR="003C3786" w:rsidRPr="00D33D9E">
        <w:rPr>
          <w:rFonts w:eastAsia="MS Mincho"/>
          <w:color w:val="000000"/>
          <w:szCs w:val="28"/>
          <w:lang w:val="ru-RU" w:eastAsia="ja-JP"/>
        </w:rPr>
        <w:t xml:space="preserve"> </w:t>
      </w:r>
      <w:r w:rsidR="008901A0" w:rsidRPr="00D33D9E">
        <w:rPr>
          <w:rFonts w:eastAsia="MS Mincho"/>
          <w:color w:val="000000"/>
          <w:szCs w:val="28"/>
          <w:lang w:val="ru-RU" w:eastAsia="ja-JP"/>
        </w:rPr>
        <w:t xml:space="preserve">на </w:t>
      </w:r>
      <w:proofErr w:type="spellStart"/>
      <w:r w:rsidR="008901A0" w:rsidRPr="00D33D9E">
        <w:rPr>
          <w:rFonts w:eastAsia="MS Mincho"/>
          <w:color w:val="000000"/>
          <w:szCs w:val="28"/>
          <w:lang w:val="ru-RU" w:eastAsia="ja-JP"/>
        </w:rPr>
        <w:t>рівні</w:t>
      </w:r>
      <w:proofErr w:type="spellEnd"/>
      <w:r w:rsidR="008901A0" w:rsidRPr="00D33D9E">
        <w:rPr>
          <w:rFonts w:eastAsia="MS Mincho"/>
          <w:color w:val="000000"/>
          <w:szCs w:val="28"/>
          <w:lang w:val="ru-RU" w:eastAsia="ja-JP"/>
        </w:rPr>
        <w:t xml:space="preserve"> 20%, </w:t>
      </w:r>
      <w:r w:rsidR="00585637" w:rsidRPr="00D33D9E">
        <w:rPr>
          <w:rFonts w:eastAsia="MS Mincho"/>
          <w:color w:val="000000"/>
          <w:szCs w:val="28"/>
          <w:lang w:val="ru-RU" w:eastAsia="ja-JP"/>
        </w:rPr>
        <w:t xml:space="preserve">на </w:t>
      </w:r>
      <w:proofErr w:type="spellStart"/>
      <w:r w:rsidR="00585637" w:rsidRPr="00D33D9E">
        <w:rPr>
          <w:rFonts w:eastAsia="MS Mincho"/>
          <w:color w:val="000000"/>
          <w:szCs w:val="28"/>
          <w:lang w:val="ru-RU" w:eastAsia="ja-JP"/>
        </w:rPr>
        <w:t>термін</w:t>
      </w:r>
      <w:proofErr w:type="spellEnd"/>
      <w:r w:rsidR="00585637" w:rsidRPr="00D33D9E">
        <w:rPr>
          <w:rFonts w:eastAsia="MS Mincho"/>
          <w:color w:val="000000"/>
          <w:szCs w:val="28"/>
          <w:lang w:val="ru-RU" w:eastAsia="ja-JP"/>
        </w:rPr>
        <w:t xml:space="preserve"> не </w:t>
      </w:r>
      <w:proofErr w:type="spellStart"/>
      <w:r w:rsidR="00585637" w:rsidRPr="00D33D9E">
        <w:rPr>
          <w:rFonts w:eastAsia="MS Mincho"/>
          <w:color w:val="000000"/>
          <w:szCs w:val="28"/>
          <w:lang w:val="ru-RU" w:eastAsia="ja-JP"/>
        </w:rPr>
        <w:t>менше</w:t>
      </w:r>
      <w:proofErr w:type="spellEnd"/>
      <w:r w:rsidR="00585637" w:rsidRPr="00D33D9E">
        <w:rPr>
          <w:rFonts w:eastAsia="MS Mincho"/>
          <w:color w:val="000000"/>
          <w:szCs w:val="28"/>
          <w:lang w:val="ru-RU" w:eastAsia="ja-JP"/>
        </w:rPr>
        <w:t xml:space="preserve"> 3 </w:t>
      </w:r>
      <w:proofErr w:type="spellStart"/>
      <w:r w:rsidR="00585637" w:rsidRPr="00D33D9E">
        <w:rPr>
          <w:rFonts w:eastAsia="MS Mincho"/>
          <w:color w:val="000000"/>
          <w:szCs w:val="28"/>
          <w:lang w:val="ru-RU" w:eastAsia="ja-JP"/>
        </w:rPr>
        <w:t>календарних</w:t>
      </w:r>
      <w:proofErr w:type="spellEnd"/>
      <w:r w:rsidR="00585637" w:rsidRPr="00D33D9E">
        <w:rPr>
          <w:rFonts w:eastAsia="MS Mincho"/>
          <w:color w:val="000000"/>
          <w:szCs w:val="28"/>
          <w:lang w:val="ru-RU" w:eastAsia="ja-JP"/>
        </w:rPr>
        <w:t xml:space="preserve"> </w:t>
      </w:r>
      <w:proofErr w:type="spellStart"/>
      <w:r w:rsidR="00585637" w:rsidRPr="00D33D9E">
        <w:rPr>
          <w:rFonts w:eastAsia="MS Mincho"/>
          <w:color w:val="000000"/>
          <w:szCs w:val="28"/>
          <w:lang w:val="ru-RU" w:eastAsia="ja-JP"/>
        </w:rPr>
        <w:t>років</w:t>
      </w:r>
      <w:proofErr w:type="spellEnd"/>
      <w:r w:rsidR="0021177C" w:rsidRPr="00D33D9E">
        <w:rPr>
          <w:rFonts w:eastAsia="MS Mincho"/>
          <w:color w:val="000000"/>
          <w:szCs w:val="28"/>
          <w:lang w:val="ru-RU" w:eastAsia="ja-JP"/>
        </w:rPr>
        <w:t>.</w:t>
      </w:r>
      <w:r w:rsidR="005866AE" w:rsidRPr="00D33D9E">
        <w:rPr>
          <w:rFonts w:eastAsia="MS Mincho"/>
          <w:color w:val="000000"/>
          <w:szCs w:val="28"/>
          <w:lang w:val="ru-RU" w:eastAsia="ja-JP"/>
        </w:rPr>
        <w:t xml:space="preserve"> </w:t>
      </w:r>
    </w:p>
    <w:p w:rsidR="003C3786" w:rsidRPr="00D33D9E" w:rsidRDefault="003C3786" w:rsidP="00AC04A1">
      <w:pPr>
        <w:pStyle w:val="TimesNewRoman"/>
        <w:spacing w:before="120" w:line="276" w:lineRule="auto"/>
        <w:ind w:firstLine="567"/>
        <w:jc w:val="both"/>
        <w:rPr>
          <w:rFonts w:eastAsia="MS Mincho"/>
          <w:color w:val="000000"/>
          <w:szCs w:val="28"/>
          <w:lang w:val="ru-RU" w:eastAsia="ja-JP"/>
        </w:rPr>
      </w:pPr>
      <w:r w:rsidRPr="00AC04A1">
        <w:rPr>
          <w:lang w:val="uk-UA"/>
        </w:rPr>
        <w:t>Запровадження</w:t>
      </w:r>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відповідного</w:t>
      </w:r>
      <w:proofErr w:type="spellEnd"/>
      <w:r w:rsidRPr="00D33D9E">
        <w:rPr>
          <w:rFonts w:eastAsia="MS Mincho"/>
          <w:color w:val="000000"/>
          <w:szCs w:val="28"/>
          <w:lang w:val="ru-RU" w:eastAsia="ja-JP"/>
        </w:rPr>
        <w:t xml:space="preserve"> заходу на </w:t>
      </w:r>
      <w:proofErr w:type="spellStart"/>
      <w:r w:rsidRPr="00D33D9E">
        <w:rPr>
          <w:rFonts w:eastAsia="MS Mincho"/>
          <w:color w:val="000000"/>
          <w:szCs w:val="28"/>
          <w:lang w:val="ru-RU" w:eastAsia="ja-JP"/>
        </w:rPr>
        <w:t>середньостроковий</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період</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дасть</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вітчизняним</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металургам</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чіткий</w:t>
      </w:r>
      <w:proofErr w:type="spellEnd"/>
      <w:r w:rsidRPr="00D33D9E">
        <w:rPr>
          <w:rFonts w:eastAsia="MS Mincho"/>
          <w:color w:val="000000"/>
          <w:szCs w:val="28"/>
          <w:lang w:val="ru-RU" w:eastAsia="ja-JP"/>
        </w:rPr>
        <w:t xml:space="preserve"> сигнал </w:t>
      </w:r>
      <w:proofErr w:type="spellStart"/>
      <w:r w:rsidRPr="00D33D9E">
        <w:rPr>
          <w:rFonts w:eastAsia="MS Mincho"/>
          <w:color w:val="000000"/>
          <w:szCs w:val="28"/>
          <w:lang w:val="ru-RU" w:eastAsia="ja-JP"/>
        </w:rPr>
        <w:t>щодо</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послідовності</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регуляторної</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політики</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держави</w:t>
      </w:r>
      <w:proofErr w:type="spellEnd"/>
      <w:r w:rsidRPr="00D33D9E">
        <w:rPr>
          <w:rFonts w:eastAsia="MS Mincho"/>
          <w:color w:val="000000"/>
          <w:szCs w:val="28"/>
          <w:lang w:val="ru-RU" w:eastAsia="ja-JP"/>
        </w:rPr>
        <w:t xml:space="preserve">, дозволить </w:t>
      </w:r>
      <w:proofErr w:type="spellStart"/>
      <w:r w:rsidRPr="00D33D9E">
        <w:rPr>
          <w:rFonts w:eastAsia="MS Mincho"/>
          <w:color w:val="000000"/>
          <w:szCs w:val="28"/>
          <w:lang w:val="ru-RU" w:eastAsia="ja-JP"/>
        </w:rPr>
        <w:t>виробникам</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впевнено</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спланувати</w:t>
      </w:r>
      <w:proofErr w:type="spellEnd"/>
      <w:r w:rsidRPr="00D33D9E">
        <w:rPr>
          <w:rFonts w:eastAsia="MS Mincho"/>
          <w:color w:val="000000"/>
          <w:szCs w:val="28"/>
          <w:lang w:val="ru-RU" w:eastAsia="ja-JP"/>
        </w:rPr>
        <w:t xml:space="preserve"> та </w:t>
      </w:r>
      <w:proofErr w:type="spellStart"/>
      <w:r w:rsidRPr="00D33D9E">
        <w:rPr>
          <w:rFonts w:eastAsia="MS Mincho"/>
          <w:color w:val="000000"/>
          <w:szCs w:val="28"/>
          <w:lang w:val="ru-RU" w:eastAsia="ja-JP"/>
        </w:rPr>
        <w:t>спокійно</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втілити</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плани</w:t>
      </w:r>
      <w:proofErr w:type="spellEnd"/>
      <w:r w:rsidRPr="00D33D9E">
        <w:rPr>
          <w:rFonts w:eastAsia="MS Mincho"/>
          <w:color w:val="000000"/>
          <w:szCs w:val="28"/>
          <w:lang w:val="ru-RU" w:eastAsia="ja-JP"/>
        </w:rPr>
        <w:t xml:space="preserve"> з </w:t>
      </w:r>
      <w:proofErr w:type="spellStart"/>
      <w:r w:rsidRPr="00D33D9E">
        <w:rPr>
          <w:rFonts w:eastAsia="MS Mincho"/>
          <w:color w:val="000000"/>
          <w:szCs w:val="28"/>
          <w:lang w:val="ru-RU" w:eastAsia="ja-JP"/>
        </w:rPr>
        <w:t>реформування</w:t>
      </w:r>
      <w:proofErr w:type="spellEnd"/>
      <w:r w:rsidRPr="00D33D9E">
        <w:rPr>
          <w:rFonts w:eastAsia="MS Mincho"/>
          <w:color w:val="000000"/>
          <w:szCs w:val="28"/>
          <w:lang w:val="ru-RU" w:eastAsia="ja-JP"/>
        </w:rPr>
        <w:t xml:space="preserve"> і </w:t>
      </w:r>
      <w:proofErr w:type="spellStart"/>
      <w:r w:rsidRPr="00D33D9E">
        <w:rPr>
          <w:rFonts w:eastAsia="MS Mincho"/>
          <w:color w:val="000000"/>
          <w:szCs w:val="28"/>
          <w:lang w:val="ru-RU" w:eastAsia="ja-JP"/>
        </w:rPr>
        <w:t>модернізації</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галузі</w:t>
      </w:r>
      <w:proofErr w:type="spellEnd"/>
      <w:r w:rsidRPr="00D33D9E">
        <w:rPr>
          <w:rFonts w:eastAsia="MS Mincho"/>
          <w:color w:val="000000"/>
          <w:szCs w:val="28"/>
          <w:lang w:val="ru-RU" w:eastAsia="ja-JP"/>
        </w:rPr>
        <w:t xml:space="preserve"> у </w:t>
      </w:r>
      <w:proofErr w:type="spellStart"/>
      <w:r w:rsidRPr="00D33D9E">
        <w:rPr>
          <w:rFonts w:eastAsia="MS Mincho"/>
          <w:color w:val="000000"/>
          <w:szCs w:val="28"/>
          <w:lang w:val="ru-RU" w:eastAsia="ja-JP"/>
        </w:rPr>
        <w:t>відповідь</w:t>
      </w:r>
      <w:proofErr w:type="spellEnd"/>
      <w:r w:rsidRPr="00D33D9E">
        <w:rPr>
          <w:rFonts w:eastAsia="MS Mincho"/>
          <w:color w:val="000000"/>
          <w:szCs w:val="28"/>
          <w:lang w:val="ru-RU" w:eastAsia="ja-JP"/>
        </w:rPr>
        <w:t xml:space="preserve"> на </w:t>
      </w:r>
      <w:proofErr w:type="spellStart"/>
      <w:r w:rsidRPr="00D33D9E">
        <w:rPr>
          <w:rFonts w:eastAsia="MS Mincho"/>
          <w:color w:val="000000"/>
          <w:szCs w:val="28"/>
          <w:lang w:val="ru-RU" w:eastAsia="ja-JP"/>
        </w:rPr>
        <w:t>новопосталі</w:t>
      </w:r>
      <w:proofErr w:type="spellEnd"/>
      <w:r w:rsidRPr="00D33D9E">
        <w:rPr>
          <w:rFonts w:eastAsia="MS Mincho"/>
          <w:color w:val="000000"/>
          <w:szCs w:val="28"/>
          <w:lang w:val="ru-RU" w:eastAsia="ja-JP"/>
        </w:rPr>
        <w:t xml:space="preserve"> </w:t>
      </w:r>
      <w:proofErr w:type="spellStart"/>
      <w:r w:rsidRPr="00D33D9E">
        <w:rPr>
          <w:rFonts w:eastAsia="MS Mincho"/>
          <w:color w:val="000000"/>
          <w:szCs w:val="28"/>
          <w:lang w:val="ru-RU" w:eastAsia="ja-JP"/>
        </w:rPr>
        <w:t>виклики</w:t>
      </w:r>
      <w:proofErr w:type="spellEnd"/>
      <w:r w:rsidRPr="00D33D9E">
        <w:rPr>
          <w:rFonts w:eastAsia="MS Mincho"/>
          <w:color w:val="000000"/>
          <w:szCs w:val="28"/>
          <w:lang w:val="ru-RU" w:eastAsia="ja-JP"/>
        </w:rPr>
        <w:t>.</w:t>
      </w:r>
    </w:p>
    <w:p w:rsidR="009E606A" w:rsidRPr="009E606A" w:rsidRDefault="009E606A" w:rsidP="00B94141">
      <w:pPr>
        <w:widowControl w:val="0"/>
        <w:spacing w:after="0"/>
        <w:ind w:firstLine="567"/>
        <w:jc w:val="both"/>
        <w:rPr>
          <w:rFonts w:ascii="Times New Roman" w:eastAsia="MS Mincho" w:hAnsi="Times New Roman"/>
          <w:color w:val="000000"/>
          <w:sz w:val="28"/>
          <w:szCs w:val="28"/>
          <w:lang w:eastAsia="ja-JP"/>
        </w:rPr>
      </w:pPr>
    </w:p>
    <w:p w:rsidR="002C2766" w:rsidRPr="000C1055" w:rsidRDefault="002C2766" w:rsidP="00B94141">
      <w:pPr>
        <w:widowControl w:val="0"/>
        <w:numPr>
          <w:ilvl w:val="0"/>
          <w:numId w:val="1"/>
        </w:numPr>
        <w:tabs>
          <w:tab w:val="left" w:pos="993"/>
        </w:tabs>
        <w:autoSpaceDE w:val="0"/>
        <w:autoSpaceDN w:val="0"/>
        <w:adjustRightInd w:val="0"/>
        <w:spacing w:before="120" w:after="120"/>
        <w:ind w:left="0" w:firstLine="567"/>
        <w:jc w:val="both"/>
        <w:rPr>
          <w:rFonts w:ascii="Times New Roman" w:hAnsi="Times New Roman"/>
          <w:b/>
          <w:color w:val="000000"/>
          <w:sz w:val="28"/>
          <w:szCs w:val="28"/>
          <w:lang w:bidi="ug-CN"/>
        </w:rPr>
      </w:pPr>
      <w:r w:rsidRPr="000C1055">
        <w:rPr>
          <w:rFonts w:ascii="Times New Roman" w:hAnsi="Times New Roman"/>
          <w:b/>
          <w:color w:val="000000"/>
          <w:sz w:val="28"/>
          <w:szCs w:val="28"/>
          <w:lang w:bidi="ug-CN"/>
        </w:rPr>
        <w:t xml:space="preserve">Мета і шляхи її досягнення </w:t>
      </w: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0C1055">
        <w:rPr>
          <w:rFonts w:ascii="Times New Roman" w:eastAsia="MS Mincho" w:hAnsi="Times New Roman"/>
          <w:color w:val="000000"/>
          <w:sz w:val="28"/>
          <w:szCs w:val="28"/>
          <w:lang w:eastAsia="ja-JP" w:bidi="ug-CN"/>
        </w:rPr>
        <w:t xml:space="preserve">Метою прийняття законопроекту є збереження дієвого механізму правового регулювання експорту металобрухту для зменшення дефіциту </w:t>
      </w:r>
      <w:r w:rsidRPr="000C1055">
        <w:rPr>
          <w:rFonts w:ascii="Times New Roman" w:eastAsia="MS Mincho" w:hAnsi="Times New Roman"/>
          <w:color w:val="000000"/>
          <w:sz w:val="28"/>
          <w:szCs w:val="28"/>
          <w:lang w:eastAsia="ja-JP" w:bidi="ug-CN"/>
        </w:rPr>
        <w:lastRenderedPageBreak/>
        <w:t>брухту чорних металів на внутрішньому ринку задля першочергового забезпечення потреб оборонної промисловості та забезпечення умов відбудови об’єктів інфраструктури.</w:t>
      </w: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ru-RU" w:bidi="ug-CN"/>
        </w:rPr>
      </w:pPr>
      <w:r w:rsidRPr="000C1055">
        <w:rPr>
          <w:rFonts w:ascii="Times New Roman" w:eastAsia="MS Mincho" w:hAnsi="Times New Roman"/>
          <w:color w:val="000000"/>
          <w:sz w:val="28"/>
          <w:szCs w:val="28"/>
          <w:lang w:eastAsia="ja-JP" w:bidi="ug-CN"/>
        </w:rPr>
        <w:t xml:space="preserve">Крім того, законопроект спрямований на </w:t>
      </w:r>
      <w:r w:rsidR="006117DF" w:rsidRPr="000C1055">
        <w:rPr>
          <w:rFonts w:ascii="Times New Roman" w:eastAsia="MS Mincho" w:hAnsi="Times New Roman"/>
          <w:color w:val="000000"/>
          <w:sz w:val="28"/>
          <w:szCs w:val="28"/>
          <w:lang w:eastAsia="ja-JP" w:bidi="ug-CN"/>
        </w:rPr>
        <w:t xml:space="preserve">подальшу </w:t>
      </w:r>
      <w:r w:rsidRPr="000C1055">
        <w:rPr>
          <w:rFonts w:ascii="Times New Roman" w:eastAsia="MS Mincho" w:hAnsi="Times New Roman"/>
          <w:color w:val="000000"/>
          <w:sz w:val="28"/>
          <w:szCs w:val="28"/>
          <w:lang w:eastAsia="ru-RU" w:bidi="ug-CN"/>
        </w:rPr>
        <w:t xml:space="preserve">стабілізацію ситуації в металургійній галузі та суміжних секторах, </w:t>
      </w:r>
      <w:r w:rsidR="00864C66" w:rsidRPr="000C1055">
        <w:rPr>
          <w:rFonts w:ascii="Times New Roman" w:eastAsia="MS Mincho" w:hAnsi="Times New Roman"/>
          <w:color w:val="000000"/>
          <w:sz w:val="28"/>
          <w:szCs w:val="28"/>
          <w:lang w:eastAsia="ru-RU" w:bidi="ug-CN"/>
        </w:rPr>
        <w:t xml:space="preserve">збереження існуючих та створення нових робочих місць, </w:t>
      </w:r>
      <w:r w:rsidRPr="000C1055">
        <w:rPr>
          <w:rFonts w:ascii="Times New Roman" w:eastAsia="MS Mincho" w:hAnsi="Times New Roman"/>
          <w:color w:val="000000"/>
          <w:sz w:val="28"/>
          <w:szCs w:val="28"/>
          <w:lang w:eastAsia="ru-RU" w:bidi="ug-CN"/>
        </w:rPr>
        <w:t xml:space="preserve">збільшення надходжень до державного бюджету за рахунок підвищення експортного мита на металобрухт, а також створення більшої доданої вартості на території держави шляхом глибокої переробки дефіцитної сировини, утвореної на її території. </w:t>
      </w:r>
    </w:p>
    <w:p w:rsidR="0077244D" w:rsidRPr="000C1055" w:rsidRDefault="0077244D"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ru-RU" w:bidi="ug-CN"/>
        </w:rPr>
      </w:pPr>
    </w:p>
    <w:p w:rsidR="00C34A19" w:rsidRPr="000C1055" w:rsidRDefault="002C2766" w:rsidP="00B94141">
      <w:pPr>
        <w:widowControl w:val="0"/>
        <w:spacing w:before="120" w:after="120"/>
        <w:ind w:firstLine="567"/>
        <w:jc w:val="both"/>
        <w:rPr>
          <w:rFonts w:ascii="Times New Roman" w:hAnsi="Times New Roman"/>
          <w:b/>
          <w:color w:val="000000"/>
          <w:sz w:val="28"/>
          <w:szCs w:val="28"/>
          <w:lang w:eastAsia="ru-RU" w:bidi="ug-CN"/>
        </w:rPr>
      </w:pPr>
      <w:r w:rsidRPr="000C1055">
        <w:rPr>
          <w:rFonts w:ascii="Times New Roman" w:hAnsi="Times New Roman"/>
          <w:b/>
          <w:color w:val="000000"/>
          <w:sz w:val="28"/>
          <w:szCs w:val="28"/>
          <w:lang w:eastAsia="ru-RU" w:bidi="ug-CN"/>
        </w:rPr>
        <w:t>3. Загальна характеристика та головні положення</w:t>
      </w: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ru-RU" w:bidi="ug-CN"/>
        </w:rPr>
      </w:pPr>
      <w:r w:rsidRPr="000C1055">
        <w:rPr>
          <w:rFonts w:ascii="Times New Roman" w:eastAsia="MS Mincho" w:hAnsi="Times New Roman"/>
          <w:color w:val="000000"/>
          <w:sz w:val="28"/>
          <w:szCs w:val="28"/>
          <w:lang w:eastAsia="ru-RU" w:bidi="ug-CN"/>
        </w:rPr>
        <w:t xml:space="preserve">Законопроектом пропонується тимчасово, терміном на </w:t>
      </w:r>
      <w:r w:rsidR="00080156" w:rsidRPr="000C1055">
        <w:rPr>
          <w:rFonts w:ascii="Times New Roman" w:eastAsia="MS Mincho" w:hAnsi="Times New Roman"/>
          <w:color w:val="000000"/>
          <w:sz w:val="28"/>
          <w:szCs w:val="28"/>
          <w:lang w:eastAsia="ru-RU" w:bidi="ug-CN"/>
        </w:rPr>
        <w:t>3</w:t>
      </w:r>
      <w:r w:rsidRPr="000C1055">
        <w:rPr>
          <w:rFonts w:ascii="Times New Roman" w:eastAsia="MS Mincho" w:hAnsi="Times New Roman"/>
          <w:color w:val="000000"/>
          <w:sz w:val="28"/>
          <w:szCs w:val="28"/>
          <w:lang w:eastAsia="ru-RU" w:bidi="ug-CN"/>
        </w:rPr>
        <w:t xml:space="preserve"> роки, продовжити дію експортного мита на відходи та брухт чорних металів </w:t>
      </w:r>
      <w:r w:rsidR="00080156" w:rsidRPr="000C1055">
        <w:rPr>
          <w:rFonts w:ascii="Times New Roman" w:eastAsia="MS Mincho" w:hAnsi="Times New Roman"/>
          <w:color w:val="000000"/>
          <w:sz w:val="28"/>
          <w:szCs w:val="28"/>
          <w:lang w:eastAsia="ru-RU" w:bidi="ug-CN"/>
        </w:rPr>
        <w:t>підвищивши його з</w:t>
      </w:r>
      <w:r w:rsidRPr="000C1055">
        <w:rPr>
          <w:rFonts w:ascii="Times New Roman" w:eastAsia="MS Mincho" w:hAnsi="Times New Roman"/>
          <w:color w:val="000000"/>
          <w:sz w:val="28"/>
          <w:szCs w:val="28"/>
          <w:lang w:eastAsia="ru-RU" w:bidi="ug-CN"/>
        </w:rPr>
        <w:t xml:space="preserve"> </w:t>
      </w:r>
      <w:r w:rsidR="003C3786">
        <w:rPr>
          <w:rFonts w:ascii="Times New Roman" w:eastAsia="MS Mincho" w:hAnsi="Times New Roman"/>
          <w:color w:val="000000"/>
          <w:sz w:val="28"/>
          <w:szCs w:val="28"/>
          <w:lang w:eastAsia="ru-RU" w:bidi="ug-CN"/>
        </w:rPr>
        <w:t>42</w:t>
      </w:r>
      <w:r w:rsidRPr="000C1055">
        <w:rPr>
          <w:rFonts w:ascii="Times New Roman" w:eastAsia="MS Mincho" w:hAnsi="Times New Roman"/>
          <w:color w:val="000000"/>
          <w:sz w:val="28"/>
          <w:szCs w:val="28"/>
          <w:lang w:eastAsia="ru-RU" w:bidi="ug-CN"/>
        </w:rPr>
        <w:t xml:space="preserve"> </w:t>
      </w:r>
      <w:r w:rsidR="00080156" w:rsidRPr="000C1055">
        <w:rPr>
          <w:rFonts w:ascii="Times New Roman" w:eastAsia="MS Mincho" w:hAnsi="Times New Roman"/>
          <w:color w:val="000000"/>
          <w:sz w:val="28"/>
          <w:szCs w:val="28"/>
          <w:lang w:eastAsia="ru-RU" w:bidi="ug-CN"/>
        </w:rPr>
        <w:t xml:space="preserve">Євро/т до </w:t>
      </w:r>
      <w:r w:rsidR="003C3786">
        <w:rPr>
          <w:rFonts w:ascii="Times New Roman" w:eastAsia="MS Mincho" w:hAnsi="Times New Roman"/>
          <w:color w:val="000000"/>
          <w:sz w:val="28"/>
          <w:szCs w:val="28"/>
          <w:lang w:eastAsia="ru-RU" w:bidi="ug-CN"/>
        </w:rPr>
        <w:t>58</w:t>
      </w:r>
      <w:r w:rsidR="00080156" w:rsidRPr="000C1055">
        <w:rPr>
          <w:rFonts w:ascii="Times New Roman" w:eastAsia="MS Mincho" w:hAnsi="Times New Roman"/>
          <w:color w:val="000000"/>
          <w:sz w:val="28"/>
          <w:szCs w:val="28"/>
          <w:lang w:eastAsia="ru-RU" w:bidi="ug-CN"/>
        </w:rPr>
        <w:t xml:space="preserve"> Євро/т у зв’язку зі збільшенням вартості ці</w:t>
      </w:r>
      <w:r w:rsidR="00C719B0" w:rsidRPr="000C1055">
        <w:rPr>
          <w:rFonts w:ascii="Times New Roman" w:eastAsia="MS Mincho" w:hAnsi="Times New Roman"/>
          <w:color w:val="000000"/>
          <w:sz w:val="28"/>
          <w:szCs w:val="28"/>
          <w:lang w:eastAsia="ru-RU" w:bidi="ug-CN"/>
        </w:rPr>
        <w:t>єї сировини на зовнішніх ринках та відповідно втратою “обмежуючого” ефекту мита.</w:t>
      </w:r>
    </w:p>
    <w:p w:rsidR="00080156" w:rsidRPr="00D33D9E" w:rsidRDefault="002C2766" w:rsidP="00AC04A1">
      <w:pPr>
        <w:pStyle w:val="TimesNewRoman"/>
        <w:spacing w:before="120" w:line="276" w:lineRule="auto"/>
        <w:ind w:firstLine="567"/>
        <w:jc w:val="both"/>
        <w:rPr>
          <w:color w:val="000000"/>
          <w:lang w:val="ru-RU"/>
        </w:rPr>
      </w:pPr>
      <w:proofErr w:type="spellStart"/>
      <w:r w:rsidRPr="00D33D9E">
        <w:rPr>
          <w:rFonts w:eastAsia="MS Mincho"/>
          <w:color w:val="000000"/>
          <w:szCs w:val="28"/>
          <w:lang w:val="ru-RU" w:eastAsia="ru-RU" w:bidi="ug-CN"/>
        </w:rPr>
        <w:t>Реалізація</w:t>
      </w:r>
      <w:proofErr w:type="spellEnd"/>
      <w:r w:rsidRPr="00D33D9E">
        <w:rPr>
          <w:rFonts w:eastAsia="MS Mincho"/>
          <w:color w:val="000000"/>
          <w:szCs w:val="28"/>
          <w:lang w:val="ru-RU" w:eastAsia="ru-RU" w:bidi="ug-CN"/>
        </w:rPr>
        <w:t xml:space="preserve"> </w:t>
      </w:r>
      <w:r w:rsidRPr="00AC04A1">
        <w:rPr>
          <w:lang w:val="uk-UA"/>
        </w:rPr>
        <w:t>запропонованого</w:t>
      </w:r>
      <w:r w:rsidRPr="00D33D9E">
        <w:rPr>
          <w:rFonts w:eastAsia="MS Mincho"/>
          <w:color w:val="000000"/>
          <w:szCs w:val="28"/>
          <w:lang w:val="ru-RU" w:eastAsia="ru-RU" w:bidi="ug-CN"/>
        </w:rPr>
        <w:t xml:space="preserve"> заходу </w:t>
      </w:r>
      <w:proofErr w:type="spellStart"/>
      <w:r w:rsidRPr="00D33D9E">
        <w:rPr>
          <w:rFonts w:eastAsia="MS Mincho"/>
          <w:color w:val="000000"/>
          <w:szCs w:val="28"/>
          <w:lang w:val="ru-RU" w:eastAsia="ru-RU" w:bidi="ug-CN"/>
        </w:rPr>
        <w:t>має</w:t>
      </w:r>
      <w:proofErr w:type="spellEnd"/>
      <w:r w:rsidRPr="00D33D9E">
        <w:rPr>
          <w:rFonts w:eastAsia="MS Mincho"/>
          <w:color w:val="000000"/>
          <w:szCs w:val="28"/>
          <w:lang w:val="ru-RU" w:eastAsia="ru-RU" w:bidi="ug-CN"/>
        </w:rPr>
        <w:t xml:space="preserve"> </w:t>
      </w:r>
      <w:proofErr w:type="spellStart"/>
      <w:r w:rsidRPr="00D33D9E">
        <w:rPr>
          <w:rFonts w:eastAsia="MS Mincho"/>
          <w:color w:val="000000"/>
          <w:szCs w:val="28"/>
          <w:lang w:val="ru-RU" w:eastAsia="ru-RU" w:bidi="ug-CN"/>
        </w:rPr>
        <w:t>економіко-правове</w:t>
      </w:r>
      <w:proofErr w:type="spellEnd"/>
      <w:r w:rsidRPr="00D33D9E">
        <w:rPr>
          <w:rFonts w:eastAsia="MS Mincho"/>
          <w:color w:val="000000"/>
          <w:szCs w:val="28"/>
          <w:lang w:val="ru-RU" w:eastAsia="ru-RU" w:bidi="ug-CN"/>
        </w:rPr>
        <w:t xml:space="preserve"> </w:t>
      </w:r>
      <w:proofErr w:type="spellStart"/>
      <w:r w:rsidRPr="00D33D9E">
        <w:rPr>
          <w:rFonts w:eastAsia="MS Mincho"/>
          <w:color w:val="000000"/>
          <w:szCs w:val="28"/>
          <w:lang w:val="ru-RU" w:eastAsia="ru-RU" w:bidi="ug-CN"/>
        </w:rPr>
        <w:t>підґрунтя</w:t>
      </w:r>
      <w:proofErr w:type="spellEnd"/>
      <w:r w:rsidRPr="00D33D9E">
        <w:rPr>
          <w:rFonts w:eastAsia="MS Mincho"/>
          <w:color w:val="000000"/>
          <w:szCs w:val="28"/>
          <w:lang w:val="ru-RU" w:eastAsia="ru-RU" w:bidi="ug-CN"/>
        </w:rPr>
        <w:t xml:space="preserve"> та не </w:t>
      </w:r>
      <w:proofErr w:type="spellStart"/>
      <w:r w:rsidRPr="00D33D9E">
        <w:rPr>
          <w:rFonts w:eastAsia="MS Mincho"/>
          <w:color w:val="000000"/>
          <w:szCs w:val="28"/>
          <w:lang w:val="ru-RU" w:eastAsia="ru-RU" w:bidi="ug-CN"/>
        </w:rPr>
        <w:t>суперечить</w:t>
      </w:r>
      <w:proofErr w:type="spellEnd"/>
      <w:r w:rsidRPr="00D33D9E">
        <w:rPr>
          <w:rFonts w:eastAsia="MS Mincho"/>
          <w:color w:val="000000"/>
          <w:szCs w:val="28"/>
          <w:lang w:val="ru-RU" w:eastAsia="ru-RU" w:bidi="ug-CN"/>
        </w:rPr>
        <w:t xml:space="preserve"> </w:t>
      </w:r>
      <w:proofErr w:type="spellStart"/>
      <w:r w:rsidRPr="00D33D9E">
        <w:rPr>
          <w:rFonts w:eastAsia="MS Mincho"/>
          <w:color w:val="000000"/>
          <w:szCs w:val="28"/>
          <w:lang w:val="ru-RU" w:eastAsia="ru-RU" w:bidi="ug-CN"/>
        </w:rPr>
        <w:t>міжнародним</w:t>
      </w:r>
      <w:proofErr w:type="spellEnd"/>
      <w:r w:rsidRPr="00D33D9E">
        <w:rPr>
          <w:rFonts w:eastAsia="MS Mincho"/>
          <w:color w:val="000000"/>
          <w:szCs w:val="28"/>
          <w:lang w:val="ru-RU" w:eastAsia="ru-RU" w:bidi="ug-CN"/>
        </w:rPr>
        <w:t xml:space="preserve"> </w:t>
      </w:r>
      <w:proofErr w:type="spellStart"/>
      <w:r w:rsidRPr="00D33D9E">
        <w:rPr>
          <w:rFonts w:eastAsia="MS Mincho"/>
          <w:color w:val="000000"/>
          <w:szCs w:val="28"/>
          <w:lang w:val="ru-RU" w:eastAsia="ru-RU" w:bidi="ug-CN"/>
        </w:rPr>
        <w:t>зобов’язанням</w:t>
      </w:r>
      <w:proofErr w:type="spellEnd"/>
      <w:r w:rsidRPr="00D33D9E">
        <w:rPr>
          <w:rFonts w:eastAsia="MS Mincho"/>
          <w:color w:val="000000"/>
          <w:szCs w:val="28"/>
          <w:lang w:val="ru-RU" w:eastAsia="ru-RU" w:bidi="ug-CN"/>
        </w:rPr>
        <w:t xml:space="preserve"> </w:t>
      </w:r>
      <w:proofErr w:type="spellStart"/>
      <w:r w:rsidRPr="00D33D9E">
        <w:rPr>
          <w:rFonts w:eastAsia="MS Mincho"/>
          <w:color w:val="000000"/>
          <w:szCs w:val="28"/>
          <w:lang w:val="ru-RU" w:eastAsia="ru-RU" w:bidi="ug-CN"/>
        </w:rPr>
        <w:t>України</w:t>
      </w:r>
      <w:proofErr w:type="spellEnd"/>
      <w:r w:rsidRPr="00D33D9E">
        <w:rPr>
          <w:rFonts w:eastAsia="MS Mincho"/>
          <w:color w:val="000000"/>
          <w:szCs w:val="28"/>
          <w:lang w:val="ru-RU" w:eastAsia="ru-RU" w:bidi="ug-CN"/>
        </w:rPr>
        <w:t xml:space="preserve">. </w:t>
      </w:r>
      <w:proofErr w:type="spellStart"/>
      <w:r w:rsidR="00FF38A8" w:rsidRPr="00D33D9E">
        <w:rPr>
          <w:rFonts w:eastAsia="MS Mincho"/>
          <w:color w:val="000000"/>
          <w:szCs w:val="28"/>
          <w:lang w:val="ru-RU" w:eastAsia="ja-JP"/>
        </w:rPr>
        <w:t>Діючі</w:t>
      </w:r>
      <w:proofErr w:type="spellEnd"/>
      <w:r w:rsidR="00080156" w:rsidRPr="00D33D9E">
        <w:rPr>
          <w:rFonts w:eastAsia="MS Mincho"/>
          <w:color w:val="000000"/>
          <w:szCs w:val="28"/>
          <w:lang w:val="ru-RU" w:eastAsia="ja-JP"/>
        </w:rPr>
        <w:t xml:space="preserve"> та</w:t>
      </w:r>
      <w:r w:rsidR="00A33EB5" w:rsidRPr="00D33D9E">
        <w:rPr>
          <w:rFonts w:eastAsia="MS Mincho"/>
          <w:color w:val="000000"/>
          <w:szCs w:val="28"/>
          <w:lang w:val="ru-RU" w:eastAsia="ja-JP"/>
        </w:rPr>
        <w:t xml:space="preserve"> </w:t>
      </w:r>
      <w:proofErr w:type="spellStart"/>
      <w:r w:rsidR="00A33EB5" w:rsidRPr="00D33D9E">
        <w:rPr>
          <w:rFonts w:eastAsia="MS Mincho"/>
          <w:color w:val="000000"/>
          <w:szCs w:val="28"/>
          <w:lang w:val="ru-RU" w:eastAsia="ja-JP"/>
        </w:rPr>
        <w:t>пропоновані</w:t>
      </w:r>
      <w:proofErr w:type="spellEnd"/>
      <w:r w:rsidR="00A33EB5" w:rsidRPr="00D33D9E">
        <w:rPr>
          <w:rFonts w:eastAsia="MS Mincho"/>
          <w:color w:val="000000"/>
          <w:szCs w:val="28"/>
          <w:lang w:val="ru-RU" w:eastAsia="ja-JP"/>
        </w:rPr>
        <w:t xml:space="preserve"> заходи з </w:t>
      </w:r>
      <w:proofErr w:type="spellStart"/>
      <w:r w:rsidR="00A33EB5" w:rsidRPr="00D33D9E">
        <w:rPr>
          <w:rFonts w:eastAsia="MS Mincho"/>
          <w:color w:val="000000"/>
          <w:szCs w:val="28"/>
          <w:lang w:val="ru-RU" w:eastAsia="ja-JP"/>
        </w:rPr>
        <w:t>підвищення</w:t>
      </w:r>
      <w:proofErr w:type="spellEnd"/>
      <w:r w:rsidR="00A33EB5" w:rsidRPr="00D33D9E">
        <w:rPr>
          <w:rFonts w:eastAsia="MS Mincho"/>
          <w:color w:val="000000"/>
          <w:szCs w:val="28"/>
          <w:lang w:val="ru-RU" w:eastAsia="ja-JP"/>
        </w:rPr>
        <w:t xml:space="preserve"> </w:t>
      </w:r>
      <w:proofErr w:type="spellStart"/>
      <w:r w:rsidR="00A33EB5" w:rsidRPr="00D33D9E">
        <w:rPr>
          <w:rFonts w:eastAsia="MS Mincho"/>
          <w:color w:val="000000"/>
          <w:szCs w:val="28"/>
          <w:lang w:val="ru-RU" w:eastAsia="ja-JP"/>
        </w:rPr>
        <w:t>експортного</w:t>
      </w:r>
      <w:proofErr w:type="spellEnd"/>
      <w:r w:rsidR="00A33EB5" w:rsidRPr="00D33D9E">
        <w:rPr>
          <w:rFonts w:eastAsia="MS Mincho"/>
          <w:color w:val="000000"/>
          <w:szCs w:val="28"/>
          <w:lang w:val="ru-RU" w:eastAsia="ja-JP"/>
        </w:rPr>
        <w:t xml:space="preserve"> </w:t>
      </w:r>
      <w:proofErr w:type="spellStart"/>
      <w:r w:rsidR="00A33EB5" w:rsidRPr="00D33D9E">
        <w:rPr>
          <w:rFonts w:eastAsia="MS Mincho"/>
          <w:color w:val="000000"/>
          <w:szCs w:val="28"/>
          <w:lang w:val="ru-RU" w:eastAsia="ja-JP"/>
        </w:rPr>
        <w:t>мита</w:t>
      </w:r>
      <w:proofErr w:type="spellEnd"/>
      <w:r w:rsidR="00A33EB5" w:rsidRPr="00D33D9E">
        <w:rPr>
          <w:rFonts w:eastAsia="MS Mincho"/>
          <w:color w:val="000000"/>
          <w:szCs w:val="28"/>
          <w:lang w:val="ru-RU" w:eastAsia="ja-JP"/>
        </w:rPr>
        <w:t xml:space="preserve"> на </w:t>
      </w:r>
      <w:proofErr w:type="spellStart"/>
      <w:r w:rsidR="00A33EB5" w:rsidRPr="00D33D9E">
        <w:rPr>
          <w:rFonts w:eastAsia="MS Mincho"/>
          <w:color w:val="000000"/>
          <w:szCs w:val="28"/>
          <w:lang w:val="ru-RU" w:eastAsia="ja-JP"/>
        </w:rPr>
        <w:t>металобрухт</w:t>
      </w:r>
      <w:proofErr w:type="spellEnd"/>
      <w:r w:rsidR="00A33EB5" w:rsidRPr="00D33D9E">
        <w:rPr>
          <w:rFonts w:eastAsia="MS Mincho"/>
          <w:color w:val="000000"/>
          <w:szCs w:val="28"/>
          <w:lang w:val="ru-RU" w:eastAsia="ja-JP"/>
        </w:rPr>
        <w:t xml:space="preserve"> </w:t>
      </w:r>
      <w:proofErr w:type="spellStart"/>
      <w:r w:rsidR="00A33EB5" w:rsidRPr="00D33D9E">
        <w:rPr>
          <w:rFonts w:eastAsia="MS Mincho"/>
          <w:color w:val="000000"/>
          <w:szCs w:val="28"/>
          <w:lang w:val="ru-RU" w:eastAsia="ja-JP"/>
        </w:rPr>
        <w:t>повністю</w:t>
      </w:r>
      <w:proofErr w:type="spellEnd"/>
      <w:r w:rsidR="00A33EB5" w:rsidRPr="00D33D9E">
        <w:rPr>
          <w:rFonts w:eastAsia="MS Mincho"/>
          <w:color w:val="000000"/>
          <w:szCs w:val="28"/>
          <w:lang w:val="ru-RU" w:eastAsia="ja-JP"/>
        </w:rPr>
        <w:t xml:space="preserve"> </w:t>
      </w:r>
      <w:proofErr w:type="spellStart"/>
      <w:r w:rsidR="00A33EB5" w:rsidRPr="00D33D9E">
        <w:rPr>
          <w:rFonts w:eastAsia="MS Mincho"/>
          <w:color w:val="000000"/>
          <w:szCs w:val="28"/>
          <w:lang w:val="ru-RU" w:eastAsia="ja-JP"/>
        </w:rPr>
        <w:t>відповідають</w:t>
      </w:r>
      <w:proofErr w:type="spellEnd"/>
      <w:r w:rsidR="00A33EB5" w:rsidRPr="00D33D9E">
        <w:rPr>
          <w:rFonts w:eastAsia="MS Mincho"/>
          <w:color w:val="000000"/>
          <w:szCs w:val="28"/>
          <w:lang w:val="ru-RU" w:eastAsia="ja-JP"/>
        </w:rPr>
        <w:t xml:space="preserve"> нормам </w:t>
      </w:r>
      <w:proofErr w:type="spellStart"/>
      <w:r w:rsidR="00080156" w:rsidRPr="00D33D9E">
        <w:rPr>
          <w:color w:val="000000"/>
          <w:lang w:val="ru-RU"/>
        </w:rPr>
        <w:t>міжнародного</w:t>
      </w:r>
      <w:proofErr w:type="spellEnd"/>
      <w:r w:rsidR="00080156" w:rsidRPr="00D33D9E">
        <w:rPr>
          <w:color w:val="000000"/>
          <w:lang w:val="ru-RU"/>
        </w:rPr>
        <w:t xml:space="preserve"> торгового права в рамках СОТ й </w:t>
      </w:r>
      <w:proofErr w:type="spellStart"/>
      <w:r w:rsidR="00080156" w:rsidRPr="00D33D9E">
        <w:rPr>
          <w:color w:val="000000"/>
          <w:lang w:val="ru-RU"/>
        </w:rPr>
        <w:t>інших</w:t>
      </w:r>
      <w:proofErr w:type="spellEnd"/>
      <w:r w:rsidR="00080156" w:rsidRPr="00D33D9E">
        <w:rPr>
          <w:color w:val="000000"/>
          <w:lang w:val="ru-RU"/>
        </w:rPr>
        <w:t xml:space="preserve"> </w:t>
      </w:r>
      <w:proofErr w:type="spellStart"/>
      <w:r w:rsidR="00080156" w:rsidRPr="00D33D9E">
        <w:rPr>
          <w:color w:val="000000"/>
          <w:lang w:val="ru-RU"/>
        </w:rPr>
        <w:t>міжнародних</w:t>
      </w:r>
      <w:proofErr w:type="spellEnd"/>
      <w:r w:rsidR="00080156" w:rsidRPr="00D33D9E">
        <w:rPr>
          <w:color w:val="000000"/>
          <w:lang w:val="ru-RU"/>
        </w:rPr>
        <w:t xml:space="preserve"> </w:t>
      </w:r>
      <w:proofErr w:type="spellStart"/>
      <w:r w:rsidR="00080156" w:rsidRPr="00D33D9E">
        <w:rPr>
          <w:color w:val="000000"/>
          <w:lang w:val="ru-RU"/>
        </w:rPr>
        <w:t>зобов’язань</w:t>
      </w:r>
      <w:proofErr w:type="spellEnd"/>
      <w:r w:rsidR="00080156" w:rsidRPr="00D33D9E">
        <w:rPr>
          <w:color w:val="000000"/>
          <w:lang w:val="ru-RU"/>
        </w:rPr>
        <w:t xml:space="preserve"> </w:t>
      </w:r>
      <w:proofErr w:type="spellStart"/>
      <w:r w:rsidR="00080156" w:rsidRPr="00D33D9E">
        <w:rPr>
          <w:color w:val="000000"/>
          <w:lang w:val="ru-RU"/>
        </w:rPr>
        <w:t>України</w:t>
      </w:r>
      <w:proofErr w:type="spellEnd"/>
      <w:r w:rsidR="00080156" w:rsidRPr="00D33D9E">
        <w:rPr>
          <w:color w:val="000000"/>
          <w:lang w:val="ru-RU"/>
        </w:rPr>
        <w:t xml:space="preserve"> </w:t>
      </w:r>
      <w:proofErr w:type="spellStart"/>
      <w:r w:rsidR="00080156" w:rsidRPr="00D33D9E">
        <w:rPr>
          <w:color w:val="000000"/>
          <w:lang w:val="ru-RU"/>
        </w:rPr>
        <w:t>щодо</w:t>
      </w:r>
      <w:proofErr w:type="spellEnd"/>
      <w:r w:rsidR="00080156" w:rsidRPr="00D33D9E">
        <w:rPr>
          <w:color w:val="000000"/>
          <w:lang w:val="ru-RU"/>
        </w:rPr>
        <w:t xml:space="preserve"> </w:t>
      </w:r>
      <w:proofErr w:type="spellStart"/>
      <w:r w:rsidR="00080156" w:rsidRPr="00D33D9E">
        <w:rPr>
          <w:color w:val="000000"/>
          <w:lang w:val="ru-RU"/>
        </w:rPr>
        <w:t>регулювання</w:t>
      </w:r>
      <w:proofErr w:type="spellEnd"/>
      <w:r w:rsidR="00080156" w:rsidRPr="00D33D9E">
        <w:rPr>
          <w:color w:val="000000"/>
          <w:lang w:val="ru-RU"/>
        </w:rPr>
        <w:t xml:space="preserve"> </w:t>
      </w:r>
      <w:proofErr w:type="spellStart"/>
      <w:r w:rsidR="00080156" w:rsidRPr="00D33D9E">
        <w:rPr>
          <w:color w:val="000000"/>
          <w:lang w:val="ru-RU"/>
        </w:rPr>
        <w:t>зовнішньої</w:t>
      </w:r>
      <w:proofErr w:type="spellEnd"/>
      <w:r w:rsidR="00080156" w:rsidRPr="00D33D9E">
        <w:rPr>
          <w:color w:val="000000"/>
          <w:lang w:val="ru-RU"/>
        </w:rPr>
        <w:t xml:space="preserve"> </w:t>
      </w:r>
      <w:proofErr w:type="spellStart"/>
      <w:r w:rsidR="00080156" w:rsidRPr="00D33D9E">
        <w:rPr>
          <w:color w:val="000000"/>
          <w:lang w:val="ru-RU"/>
        </w:rPr>
        <w:t>торгівлі</w:t>
      </w:r>
      <w:proofErr w:type="spellEnd"/>
      <w:r w:rsidR="00080156" w:rsidRPr="00D33D9E">
        <w:rPr>
          <w:color w:val="000000"/>
          <w:lang w:val="ru-RU"/>
        </w:rPr>
        <w:t>.</w:t>
      </w:r>
    </w:p>
    <w:p w:rsidR="00B94141" w:rsidRPr="00B94141" w:rsidRDefault="00B9414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ru-RU" w:bidi="ug-CN"/>
        </w:rPr>
      </w:pPr>
      <w:r w:rsidRPr="00B94141">
        <w:rPr>
          <w:rFonts w:ascii="Times New Roman" w:eastAsia="MS Mincho" w:hAnsi="Times New Roman"/>
          <w:color w:val="000000"/>
          <w:sz w:val="28"/>
          <w:szCs w:val="28"/>
          <w:lang w:eastAsia="ru-RU" w:bidi="ug-CN"/>
        </w:rPr>
        <w:t xml:space="preserve">Запровадження в Україні правового режиму воєнного стану, який тривав з 26 листопада 2018 р. до 26 грудня 2018 р., зумовлює додаткові підстави для застосування нашою країною відповідних винятків з правил ГАТТ/СОТ. </w:t>
      </w:r>
    </w:p>
    <w:p w:rsidR="003C3786" w:rsidRDefault="00B9414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ru-RU" w:bidi="ug-CN"/>
        </w:rPr>
      </w:pPr>
      <w:r w:rsidRPr="00B94141">
        <w:rPr>
          <w:rFonts w:ascii="Times New Roman" w:eastAsia="MS Mincho" w:hAnsi="Times New Roman"/>
          <w:color w:val="000000"/>
          <w:sz w:val="28"/>
          <w:szCs w:val="28"/>
          <w:lang w:eastAsia="ru-RU" w:bidi="ug-CN"/>
        </w:rPr>
        <w:t>До того ж, активне розгортання глобальної торгової війни надаватиме пріоритетності набагато актуальнішим міжнародним диспутам щодо подальшого формату світової торгівлі металами між основними країнами-виробниками. На користь України в цьому питанні зіграла й усталена світова практика: з 2010 р. різними країнами світу введено понад 25 заходів, які обмежують чи повністю забороняють експорт металобрухту. При цьому жодних торговельних суперечок в рамках СОТ ці заходи не спровокували.</w:t>
      </w:r>
    </w:p>
    <w:p w:rsidR="00B94141" w:rsidRDefault="00B94141"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ru-RU" w:bidi="ug-CN"/>
        </w:rPr>
      </w:pPr>
      <w:r w:rsidRPr="00B94141">
        <w:rPr>
          <w:rFonts w:ascii="Times New Roman" w:eastAsia="MS Mincho" w:hAnsi="Times New Roman"/>
          <w:color w:val="000000"/>
          <w:sz w:val="28"/>
          <w:szCs w:val="28"/>
          <w:lang w:eastAsia="ru-RU" w:bidi="ug-CN"/>
        </w:rPr>
        <w:t xml:space="preserve">З огляду на зазначене та враховуючи тимчасову анексію Криму, продовження військової агресії РФ на Сході країн, запровадження тимчасового військового стану та, відповідно, Операції об’єднаних сил (ООС), що формує передумови для подальшої мілітаризації економіки й зростання внутрішнього попиту на продукцію ГМК, запровадження </w:t>
      </w:r>
      <w:r w:rsidRPr="00B94141">
        <w:rPr>
          <w:rFonts w:ascii="Times New Roman" w:eastAsia="MS Mincho" w:hAnsi="Times New Roman"/>
          <w:color w:val="000000"/>
          <w:sz w:val="28"/>
          <w:szCs w:val="28"/>
          <w:lang w:eastAsia="ru-RU" w:bidi="ug-CN"/>
        </w:rPr>
        <w:lastRenderedPageBreak/>
        <w:t>подальших обмежень на експорт брухту чорних металів з України повною мірою відповідає положенням Статті XXI(b)(iii) ГАТТ «Винятки з міркувань безпеки», в якій наголошується, що ніщо в Угоді ГАТТ не повинно тлумачитися «як перешкода будь-якій стороні у здійсненні будь-яких дій, які вона вважає необхідними для захисту суттєвих інтересів своєї безпеки, що вживаються під час війни чи інших надзвичайних обставин у міжнародних відносинах».</w:t>
      </w:r>
    </w:p>
    <w:p w:rsidR="002C2766" w:rsidRPr="000C1055" w:rsidRDefault="002C2766" w:rsidP="00817BBF">
      <w:pPr>
        <w:widowControl w:val="0"/>
        <w:tabs>
          <w:tab w:val="left" w:pos="993"/>
        </w:tabs>
        <w:autoSpaceDE w:val="0"/>
        <w:autoSpaceDN w:val="0"/>
        <w:adjustRightInd w:val="0"/>
        <w:spacing w:after="0"/>
        <w:ind w:firstLine="567"/>
        <w:jc w:val="both"/>
        <w:rPr>
          <w:rFonts w:ascii="Times New Roman" w:eastAsia="MS Mincho" w:hAnsi="Times New Roman"/>
          <w:color w:val="000000"/>
          <w:sz w:val="28"/>
          <w:szCs w:val="28"/>
          <w:lang w:eastAsia="ru-RU" w:bidi="ug-CN"/>
        </w:rPr>
      </w:pPr>
      <w:r w:rsidRPr="000C1055">
        <w:rPr>
          <w:rFonts w:ascii="Times New Roman" w:eastAsia="MS Mincho" w:hAnsi="Times New Roman"/>
          <w:color w:val="000000"/>
          <w:sz w:val="28"/>
          <w:szCs w:val="28"/>
          <w:lang w:eastAsia="ru-RU" w:bidi="ug-CN"/>
        </w:rPr>
        <w:t>При цьому тимчасове підвищення вивізного мита на брухт чорних металів відповідає основним критеріям застосування статті XXI(b)(iii) ГАТТ</w:t>
      </w:r>
      <w:r w:rsidR="006A0D33" w:rsidRPr="000C1055">
        <w:rPr>
          <w:color w:val="000000"/>
        </w:rPr>
        <w:t xml:space="preserve"> </w:t>
      </w:r>
      <w:r w:rsidR="006A0D33" w:rsidRPr="000C1055">
        <w:rPr>
          <w:rFonts w:ascii="Times New Roman" w:eastAsia="MS Mincho" w:hAnsi="Times New Roman"/>
          <w:color w:val="000000"/>
          <w:sz w:val="28"/>
          <w:szCs w:val="28"/>
          <w:lang w:eastAsia="ru-RU" w:bidi="ug-CN"/>
        </w:rPr>
        <w:t>та інших положень системи угод СОТ</w:t>
      </w:r>
      <w:r w:rsidRPr="000C1055">
        <w:rPr>
          <w:rFonts w:ascii="Times New Roman" w:eastAsia="MS Mincho" w:hAnsi="Times New Roman"/>
          <w:color w:val="000000"/>
          <w:sz w:val="28"/>
          <w:szCs w:val="28"/>
          <w:lang w:eastAsia="ru-RU" w:bidi="ug-CN"/>
        </w:rPr>
        <w:t>, а саме:</w:t>
      </w:r>
    </w:p>
    <w:p w:rsidR="002C2766" w:rsidRPr="000C1055" w:rsidRDefault="002C2766" w:rsidP="00817BBF">
      <w:pPr>
        <w:widowControl w:val="0"/>
        <w:numPr>
          <w:ilvl w:val="0"/>
          <w:numId w:val="3"/>
        </w:numPr>
        <w:tabs>
          <w:tab w:val="left" w:pos="993"/>
        </w:tabs>
        <w:autoSpaceDE w:val="0"/>
        <w:autoSpaceDN w:val="0"/>
        <w:adjustRightInd w:val="0"/>
        <w:spacing w:after="0"/>
        <w:ind w:left="0" w:firstLine="567"/>
        <w:jc w:val="both"/>
        <w:rPr>
          <w:rFonts w:ascii="Times New Roman" w:hAnsi="Times New Roman"/>
          <w:color w:val="000000"/>
          <w:sz w:val="28"/>
          <w:szCs w:val="28"/>
          <w:lang w:eastAsia="ru-RU" w:bidi="ug-CN"/>
        </w:rPr>
      </w:pPr>
      <w:r w:rsidRPr="000C1055">
        <w:rPr>
          <w:rFonts w:ascii="Times New Roman" w:hAnsi="Times New Roman"/>
          <w:color w:val="000000"/>
          <w:sz w:val="28"/>
          <w:szCs w:val="28"/>
          <w:lang w:eastAsia="ru-RU" w:bidi="ug-CN"/>
        </w:rPr>
        <w:t>є економічно обґрунтованим з точки зору зростання потреб підприємств оборонної галузі, а також необхідності відбудови об’єктів інфраструктури;</w:t>
      </w:r>
    </w:p>
    <w:p w:rsidR="006A0D33" w:rsidRPr="000C1055" w:rsidRDefault="00405051" w:rsidP="00817BBF">
      <w:pPr>
        <w:widowControl w:val="0"/>
        <w:numPr>
          <w:ilvl w:val="0"/>
          <w:numId w:val="3"/>
        </w:numPr>
        <w:tabs>
          <w:tab w:val="left" w:pos="993"/>
        </w:tabs>
        <w:autoSpaceDE w:val="0"/>
        <w:autoSpaceDN w:val="0"/>
        <w:adjustRightInd w:val="0"/>
        <w:spacing w:after="0"/>
        <w:ind w:left="0" w:firstLine="567"/>
        <w:jc w:val="both"/>
        <w:rPr>
          <w:rFonts w:ascii="Times New Roman" w:hAnsi="Times New Roman"/>
          <w:color w:val="000000"/>
          <w:sz w:val="28"/>
          <w:szCs w:val="28"/>
          <w:lang w:bidi="ug-CN"/>
        </w:rPr>
      </w:pPr>
      <w:r w:rsidRPr="000C1055">
        <w:rPr>
          <w:rFonts w:ascii="Times New Roman" w:hAnsi="Times New Roman"/>
          <w:color w:val="000000"/>
          <w:sz w:val="28"/>
          <w:szCs w:val="28"/>
          <w:lang w:eastAsia="ru-RU" w:bidi="ug-CN"/>
        </w:rPr>
        <w:t>запроваджується</w:t>
      </w:r>
      <w:r w:rsidRPr="000C1055">
        <w:rPr>
          <w:rFonts w:ascii="Times New Roman" w:hAnsi="Times New Roman"/>
          <w:color w:val="000000"/>
          <w:sz w:val="28"/>
          <w:szCs w:val="28"/>
          <w:lang w:bidi="ug-CN"/>
        </w:rPr>
        <w:t xml:space="preserve"> </w:t>
      </w:r>
      <w:r w:rsidR="006A0D33" w:rsidRPr="000C1055">
        <w:rPr>
          <w:rFonts w:ascii="Times New Roman" w:hAnsi="Times New Roman"/>
          <w:color w:val="000000"/>
          <w:sz w:val="28"/>
          <w:szCs w:val="28"/>
          <w:lang w:bidi="ug-CN"/>
        </w:rPr>
        <w:t xml:space="preserve">в умовах зовнішньої військової агресії та анексії частини території України; </w:t>
      </w:r>
    </w:p>
    <w:p w:rsidR="002C2766" w:rsidRPr="000C1055" w:rsidRDefault="002C2766" w:rsidP="00817BBF">
      <w:pPr>
        <w:widowControl w:val="0"/>
        <w:numPr>
          <w:ilvl w:val="0"/>
          <w:numId w:val="3"/>
        </w:numPr>
        <w:tabs>
          <w:tab w:val="left" w:pos="993"/>
        </w:tabs>
        <w:autoSpaceDE w:val="0"/>
        <w:autoSpaceDN w:val="0"/>
        <w:adjustRightInd w:val="0"/>
        <w:spacing w:after="0"/>
        <w:ind w:left="0" w:firstLine="567"/>
        <w:jc w:val="both"/>
        <w:rPr>
          <w:rFonts w:ascii="Times New Roman" w:hAnsi="Times New Roman"/>
          <w:color w:val="000000"/>
          <w:sz w:val="28"/>
          <w:szCs w:val="28"/>
          <w:lang w:eastAsia="ru-RU" w:bidi="ug-CN"/>
        </w:rPr>
      </w:pPr>
      <w:r w:rsidRPr="000C1055">
        <w:rPr>
          <w:rFonts w:ascii="Times New Roman" w:hAnsi="Times New Roman"/>
          <w:color w:val="000000"/>
          <w:sz w:val="28"/>
          <w:szCs w:val="28"/>
          <w:lang w:eastAsia="ru-RU" w:bidi="ug-CN"/>
        </w:rPr>
        <w:t>є недискримінаційним, оскільки передбачається, що ставка експорту розповсюджується на експорт брухту чорних металів до будь-якої країни;</w:t>
      </w:r>
    </w:p>
    <w:p w:rsidR="00F87083" w:rsidRDefault="002C2766" w:rsidP="00817BBF">
      <w:pPr>
        <w:widowControl w:val="0"/>
        <w:numPr>
          <w:ilvl w:val="0"/>
          <w:numId w:val="3"/>
        </w:numPr>
        <w:tabs>
          <w:tab w:val="left" w:pos="993"/>
        </w:tabs>
        <w:autoSpaceDE w:val="0"/>
        <w:autoSpaceDN w:val="0"/>
        <w:adjustRightInd w:val="0"/>
        <w:spacing w:after="0"/>
        <w:ind w:left="0" w:firstLine="567"/>
        <w:jc w:val="both"/>
        <w:rPr>
          <w:rFonts w:ascii="Times New Roman" w:hAnsi="Times New Roman"/>
          <w:color w:val="000000"/>
          <w:sz w:val="28"/>
          <w:szCs w:val="28"/>
          <w:lang w:eastAsia="ru-RU" w:bidi="ug-CN"/>
        </w:rPr>
      </w:pPr>
      <w:r w:rsidRPr="000C1055">
        <w:rPr>
          <w:rFonts w:ascii="Times New Roman" w:hAnsi="Times New Roman"/>
          <w:color w:val="000000"/>
          <w:sz w:val="28"/>
          <w:szCs w:val="28"/>
          <w:lang w:eastAsia="ru-RU" w:bidi="ug-CN"/>
        </w:rPr>
        <w:t xml:space="preserve">носить тимчасовий характер, що безпосередньо пов’язаний з існуванням загрози національній безпеці. </w:t>
      </w:r>
    </w:p>
    <w:p w:rsidR="003C3786" w:rsidRDefault="00F87083" w:rsidP="00B94141">
      <w:pPr>
        <w:widowControl w:val="0"/>
        <w:tabs>
          <w:tab w:val="left" w:pos="993"/>
        </w:tabs>
        <w:autoSpaceDE w:val="0"/>
        <w:autoSpaceDN w:val="0"/>
        <w:adjustRightInd w:val="0"/>
        <w:spacing w:before="120" w:after="120"/>
        <w:ind w:firstLine="567"/>
        <w:jc w:val="both"/>
        <w:rPr>
          <w:rFonts w:ascii="Times New Roman" w:hAnsi="Times New Roman"/>
          <w:sz w:val="28"/>
          <w:szCs w:val="28"/>
        </w:rPr>
      </w:pPr>
      <w:r>
        <w:rPr>
          <w:rFonts w:ascii="Times New Roman" w:hAnsi="Times New Roman"/>
          <w:color w:val="000000"/>
          <w:sz w:val="28"/>
          <w:szCs w:val="28"/>
          <w:lang w:eastAsia="ru-RU" w:bidi="ug-CN"/>
        </w:rPr>
        <w:t>Крім того, в</w:t>
      </w:r>
      <w:r w:rsidRPr="00F87083">
        <w:rPr>
          <w:rFonts w:ascii="Times New Roman" w:hAnsi="Times New Roman"/>
          <w:sz w:val="28"/>
          <w:szCs w:val="28"/>
        </w:rPr>
        <w:t>казаний захід не порушує Угоди про асоціацію з Європейським союзом, адже Статтею 36 «Загальні винятки» чітко визначено, що «Ніщо в цій Угоді не повинно тлумачитися як таке, що перешкоджає вжиттю або застосуванню будь-якою Стороною заходів згідно зі Статтями XX та XXІ ГАТТ</w:t>
      </w:r>
      <w:r w:rsidR="00BE2EDF" w:rsidRPr="003A653F">
        <w:rPr>
          <w:rFonts w:ascii="Times New Roman" w:hAnsi="Times New Roman"/>
          <w:sz w:val="28"/>
          <w:szCs w:val="28"/>
        </w:rPr>
        <w:t>/СОТ</w:t>
      </w:r>
      <w:r w:rsidRPr="00F87083">
        <w:rPr>
          <w:rFonts w:ascii="Times New Roman" w:hAnsi="Times New Roman"/>
          <w:sz w:val="28"/>
          <w:szCs w:val="28"/>
        </w:rPr>
        <w:t xml:space="preserve"> та їх примітками щодо тлумачення, які включено до цієї Угоди і є її невід’ємною частиною».</w:t>
      </w:r>
      <w:r w:rsidR="003C3786">
        <w:rPr>
          <w:rFonts w:ascii="Times New Roman" w:hAnsi="Times New Roman"/>
          <w:sz w:val="28"/>
          <w:szCs w:val="28"/>
        </w:rPr>
        <w:t xml:space="preserve"> </w:t>
      </w:r>
    </w:p>
    <w:p w:rsidR="00F87083" w:rsidRPr="00F87083" w:rsidRDefault="003C3786" w:rsidP="00B94141">
      <w:pPr>
        <w:widowControl w:val="0"/>
        <w:tabs>
          <w:tab w:val="left" w:pos="993"/>
        </w:tabs>
        <w:autoSpaceDE w:val="0"/>
        <w:autoSpaceDN w:val="0"/>
        <w:adjustRightInd w:val="0"/>
        <w:spacing w:before="120" w:after="120"/>
        <w:ind w:firstLine="567"/>
        <w:jc w:val="both"/>
        <w:rPr>
          <w:rFonts w:ascii="Times New Roman" w:hAnsi="Times New Roman"/>
          <w:color w:val="000000"/>
          <w:sz w:val="28"/>
          <w:szCs w:val="28"/>
          <w:lang w:eastAsia="ru-RU" w:bidi="ug-CN"/>
        </w:rPr>
      </w:pPr>
      <w:r w:rsidRPr="003C3786">
        <w:rPr>
          <w:rFonts w:ascii="Times New Roman" w:hAnsi="Times New Roman"/>
          <w:sz w:val="28"/>
          <w:szCs w:val="28"/>
        </w:rPr>
        <w:t>Відповідно, зазначене положення у рамках системи Угод СОТ та Угоди про асоціацію з ЄС надає право Україні запроваджувати будь-які регуляторні заходи, які вона вважає необхідними для захисту суттєвих інтересів своєї безпеки, зокрема, під час війни чи інших надзвичайних обставин у міжнародних відносинах.</w:t>
      </w:r>
    </w:p>
    <w:p w:rsidR="0077244D" w:rsidRPr="000C1055" w:rsidRDefault="0077244D" w:rsidP="00B94141">
      <w:pPr>
        <w:widowControl w:val="0"/>
        <w:tabs>
          <w:tab w:val="left" w:pos="993"/>
        </w:tabs>
        <w:autoSpaceDE w:val="0"/>
        <w:autoSpaceDN w:val="0"/>
        <w:adjustRightInd w:val="0"/>
        <w:spacing w:before="120" w:after="120"/>
        <w:ind w:left="567"/>
        <w:jc w:val="both"/>
        <w:rPr>
          <w:rFonts w:ascii="Times New Roman" w:hAnsi="Times New Roman"/>
          <w:color w:val="000000"/>
          <w:sz w:val="28"/>
          <w:szCs w:val="28"/>
          <w:lang w:eastAsia="ru-RU" w:bidi="ug-CN"/>
        </w:rPr>
      </w:pPr>
    </w:p>
    <w:p w:rsidR="002C2766" w:rsidRPr="000C1055" w:rsidRDefault="002C2766" w:rsidP="00B94141">
      <w:pPr>
        <w:widowControl w:val="0"/>
        <w:spacing w:before="120" w:after="120"/>
        <w:ind w:firstLine="709"/>
        <w:jc w:val="both"/>
        <w:rPr>
          <w:rFonts w:ascii="Times New Roman" w:hAnsi="Times New Roman"/>
          <w:b/>
          <w:color w:val="000000"/>
          <w:sz w:val="28"/>
          <w:szCs w:val="28"/>
          <w:lang w:eastAsia="ru-RU" w:bidi="ug-CN"/>
        </w:rPr>
      </w:pPr>
      <w:r w:rsidRPr="000C1055">
        <w:rPr>
          <w:rFonts w:ascii="Times New Roman" w:hAnsi="Times New Roman"/>
          <w:b/>
          <w:color w:val="000000"/>
          <w:sz w:val="28"/>
          <w:szCs w:val="28"/>
          <w:lang w:eastAsia="ru-RU" w:bidi="ug-CN"/>
        </w:rPr>
        <w:t>4. Стан нормативно-правової бази у даній сфері правового регулювання</w:t>
      </w:r>
    </w:p>
    <w:p w:rsidR="002C2766" w:rsidRPr="000C1055" w:rsidRDefault="002C2766" w:rsidP="00B94141">
      <w:pPr>
        <w:widowControl w:val="0"/>
        <w:spacing w:before="120" w:after="120"/>
        <w:ind w:firstLine="709"/>
        <w:jc w:val="both"/>
        <w:rPr>
          <w:rFonts w:ascii="Times New Roman" w:hAnsi="Times New Roman"/>
          <w:color w:val="000000"/>
          <w:sz w:val="28"/>
          <w:szCs w:val="28"/>
          <w:lang w:eastAsia="ru-RU" w:bidi="ug-CN"/>
        </w:rPr>
      </w:pPr>
      <w:r w:rsidRPr="000C1055">
        <w:rPr>
          <w:rFonts w:ascii="Times New Roman" w:hAnsi="Times New Roman"/>
          <w:color w:val="000000"/>
          <w:sz w:val="28"/>
          <w:szCs w:val="28"/>
          <w:lang w:eastAsia="ru-RU" w:bidi="ug-CN"/>
        </w:rPr>
        <w:t xml:space="preserve">Основними нормативно-правовими актами у даній сфері є Закон України «Про металобрухт», Закон України </w:t>
      </w:r>
      <w:r w:rsidRPr="000C1055">
        <w:rPr>
          <w:rFonts w:ascii="Times New Roman" w:hAnsi="Times New Roman"/>
          <w:color w:val="000000"/>
          <w:sz w:val="28"/>
          <w:szCs w:val="28"/>
          <w:lang w:eastAsia="uk-UA" w:bidi="ug-CN"/>
        </w:rPr>
        <w:t xml:space="preserve">«Про вивізне (експортне) мито на відходи та брухт чорних металів» та Закон України </w:t>
      </w:r>
      <w:r w:rsidRPr="000C1055">
        <w:rPr>
          <w:rFonts w:ascii="Times New Roman" w:hAnsi="Times New Roman"/>
          <w:color w:val="000000"/>
          <w:sz w:val="28"/>
          <w:szCs w:val="28"/>
          <w:lang w:eastAsia="ru-RU" w:bidi="ug-CN"/>
        </w:rPr>
        <w:t>«Про зовнішньоекономічну діяльність».</w:t>
      </w:r>
    </w:p>
    <w:p w:rsidR="00CF13E6" w:rsidRPr="000C1055" w:rsidRDefault="002C2766" w:rsidP="00B94141">
      <w:pPr>
        <w:widowControl w:val="0"/>
        <w:spacing w:before="120" w:after="120"/>
        <w:ind w:firstLine="709"/>
        <w:jc w:val="both"/>
        <w:rPr>
          <w:rFonts w:ascii="Times New Roman" w:hAnsi="Times New Roman"/>
          <w:color w:val="000000"/>
          <w:sz w:val="28"/>
          <w:szCs w:val="28"/>
          <w:lang w:eastAsia="ru-RU" w:bidi="ug-CN"/>
        </w:rPr>
      </w:pPr>
      <w:r w:rsidRPr="000C1055">
        <w:rPr>
          <w:rFonts w:ascii="Times New Roman" w:hAnsi="Times New Roman"/>
          <w:color w:val="000000"/>
          <w:sz w:val="28"/>
          <w:szCs w:val="28"/>
          <w:lang w:eastAsia="ru-RU" w:bidi="ug-CN"/>
        </w:rPr>
        <w:lastRenderedPageBreak/>
        <w:t>Прийняття та реалізація законопроекту не потребує додаткового внесення змін до інших законодавчих актів України.</w:t>
      </w:r>
    </w:p>
    <w:p w:rsidR="0077244D" w:rsidRPr="000C1055" w:rsidRDefault="0077244D" w:rsidP="00B94141">
      <w:pPr>
        <w:widowControl w:val="0"/>
        <w:spacing w:before="120" w:after="120"/>
        <w:ind w:firstLine="709"/>
        <w:jc w:val="both"/>
        <w:rPr>
          <w:rFonts w:ascii="Times New Roman" w:hAnsi="Times New Roman"/>
          <w:color w:val="000000"/>
          <w:sz w:val="28"/>
          <w:szCs w:val="28"/>
          <w:lang w:eastAsia="ru-RU" w:bidi="ug-CN"/>
        </w:rPr>
      </w:pP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hAnsi="Times New Roman"/>
          <w:b/>
          <w:color w:val="000000"/>
          <w:sz w:val="28"/>
          <w:szCs w:val="28"/>
          <w:lang w:bidi="ug-CN"/>
        </w:rPr>
      </w:pPr>
      <w:r w:rsidRPr="000C1055">
        <w:rPr>
          <w:rFonts w:ascii="Times New Roman" w:hAnsi="Times New Roman"/>
          <w:b/>
          <w:color w:val="000000"/>
          <w:sz w:val="28"/>
          <w:szCs w:val="28"/>
          <w:lang w:bidi="ug-CN"/>
        </w:rPr>
        <w:t>5. Фінансово-економічне обґрунтування</w:t>
      </w: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0C1055">
        <w:rPr>
          <w:rFonts w:ascii="Times New Roman" w:eastAsia="MS Mincho" w:hAnsi="Times New Roman"/>
          <w:color w:val="000000"/>
          <w:sz w:val="28"/>
          <w:szCs w:val="28"/>
          <w:lang w:eastAsia="ja-JP" w:bidi="ug-CN"/>
        </w:rPr>
        <w:t xml:space="preserve">Реалізація проекту Закону не потребує додаткових витрат з Державного бюджету. </w:t>
      </w:r>
    </w:p>
    <w:p w:rsidR="0077244D" w:rsidRPr="00D33D9E" w:rsidRDefault="002C2766" w:rsidP="00AC04A1">
      <w:pPr>
        <w:pStyle w:val="TimesNewRoman"/>
        <w:spacing w:before="120" w:line="276" w:lineRule="auto"/>
        <w:ind w:firstLine="567"/>
        <w:jc w:val="both"/>
        <w:rPr>
          <w:rFonts w:eastAsia="MS Mincho"/>
          <w:color w:val="FF0000"/>
          <w:szCs w:val="28"/>
          <w:lang w:val="uk-UA" w:eastAsia="ja-JP" w:bidi="ug-CN"/>
        </w:rPr>
      </w:pPr>
      <w:r w:rsidRPr="00D33D9E">
        <w:rPr>
          <w:rFonts w:eastAsia="MS Mincho"/>
          <w:color w:val="000000"/>
          <w:szCs w:val="28"/>
          <w:lang w:val="uk-UA" w:eastAsia="ja-JP" w:bidi="ug-CN"/>
        </w:rPr>
        <w:t xml:space="preserve">Натомість, </w:t>
      </w:r>
      <w:r w:rsidRPr="00AC04A1">
        <w:rPr>
          <w:lang w:val="uk-UA"/>
        </w:rPr>
        <w:t>прийняття</w:t>
      </w:r>
      <w:r w:rsidRPr="00D33D9E">
        <w:rPr>
          <w:rFonts w:eastAsia="MS Mincho"/>
          <w:color w:val="000000"/>
          <w:szCs w:val="28"/>
          <w:lang w:val="uk-UA" w:eastAsia="ja-JP" w:bidi="ug-CN"/>
        </w:rPr>
        <w:t xml:space="preserve"> законопроекту забезпечить додаткові надходження до бюджету у вигляді експортного мита та створення умов безперебійного постачання на вітчизняні металургійні підприємства доступної сировини, що сприятиме виробництву металопродукції з більшою доданою вартістю. </w:t>
      </w:r>
      <w:r w:rsidRPr="003A653F">
        <w:rPr>
          <w:rFonts w:eastAsia="MS Mincho"/>
          <w:szCs w:val="28"/>
          <w:lang w:val="uk-UA" w:eastAsia="ja-JP" w:bidi="ug-CN"/>
        </w:rPr>
        <w:t xml:space="preserve">Реалізація положень законопроекту, за експертними оцінками, додатково принесе </w:t>
      </w:r>
      <w:r w:rsidR="00387D7B" w:rsidRPr="003A653F">
        <w:rPr>
          <w:rFonts w:eastAsia="MS Mincho"/>
          <w:szCs w:val="28"/>
          <w:lang w:val="uk-UA" w:eastAsia="ja-JP" w:bidi="ug-CN"/>
        </w:rPr>
        <w:t xml:space="preserve">близько </w:t>
      </w:r>
      <w:r w:rsidR="00C025DC" w:rsidRPr="003A653F">
        <w:rPr>
          <w:rFonts w:eastAsia="MS Mincho"/>
          <w:szCs w:val="28"/>
          <w:lang w:val="uk-UA" w:eastAsia="ja-JP" w:bidi="ug-CN"/>
        </w:rPr>
        <w:t>1,</w:t>
      </w:r>
      <w:r w:rsidR="00D33D9E" w:rsidRPr="003A653F">
        <w:rPr>
          <w:rFonts w:eastAsia="MS Mincho"/>
          <w:szCs w:val="28"/>
          <w:lang w:val="uk-UA" w:eastAsia="ja-JP" w:bidi="ug-CN"/>
        </w:rPr>
        <w:t>55</w:t>
      </w:r>
      <w:r w:rsidR="00C025DC" w:rsidRPr="003A653F">
        <w:rPr>
          <w:rFonts w:eastAsia="MS Mincho"/>
          <w:szCs w:val="28"/>
          <w:lang w:val="uk-UA" w:eastAsia="ja-JP" w:bidi="ug-CN"/>
        </w:rPr>
        <w:t xml:space="preserve"> млрд</w:t>
      </w:r>
      <w:r w:rsidRPr="003A653F">
        <w:rPr>
          <w:rFonts w:eastAsia="MS Mincho"/>
          <w:szCs w:val="28"/>
          <w:lang w:val="uk-UA" w:eastAsia="ja-JP" w:bidi="ug-CN"/>
        </w:rPr>
        <w:t xml:space="preserve"> грн бюджетних надходжень на рік</w:t>
      </w:r>
      <w:r w:rsidR="00146C8C" w:rsidRPr="003A653F">
        <w:rPr>
          <w:rFonts w:eastAsia="MS Mincho"/>
          <w:szCs w:val="28"/>
          <w:lang w:val="uk-UA" w:eastAsia="ja-JP" w:bidi="ug-CN"/>
        </w:rPr>
        <w:t xml:space="preserve"> (прямий фіскальний ефект від підвищення експортного мита</w:t>
      </w:r>
      <w:r w:rsidR="00D33D9E" w:rsidRPr="003A653F">
        <w:rPr>
          <w:rFonts w:eastAsia="MS Mincho"/>
          <w:szCs w:val="28"/>
          <w:lang w:val="uk-UA" w:eastAsia="ja-JP" w:bidi="ug-CN"/>
        </w:rPr>
        <w:t xml:space="preserve"> (0,58 млрд грн)</w:t>
      </w:r>
      <w:r w:rsidR="00146C8C" w:rsidRPr="003A653F">
        <w:rPr>
          <w:rFonts w:eastAsia="MS Mincho"/>
          <w:szCs w:val="28"/>
          <w:lang w:val="uk-UA" w:eastAsia="ja-JP" w:bidi="ug-CN"/>
        </w:rPr>
        <w:t xml:space="preserve"> та </w:t>
      </w:r>
      <w:r w:rsidR="001470D0" w:rsidRPr="003A653F">
        <w:rPr>
          <w:rFonts w:eastAsia="MS Mincho"/>
          <w:szCs w:val="28"/>
          <w:lang w:val="uk-UA" w:eastAsia="ja-JP" w:bidi="ug-CN"/>
        </w:rPr>
        <w:t>податков</w:t>
      </w:r>
      <w:r w:rsidR="00E05FDF" w:rsidRPr="003A653F">
        <w:rPr>
          <w:rFonts w:eastAsia="MS Mincho"/>
          <w:szCs w:val="28"/>
          <w:lang w:val="uk-UA" w:eastAsia="ja-JP" w:bidi="ug-CN"/>
        </w:rPr>
        <w:t>і надходження від активізації діяльності в металургійній та суміжних галузях</w:t>
      </w:r>
      <w:r w:rsidR="00D33D9E" w:rsidRPr="003A653F">
        <w:rPr>
          <w:rFonts w:eastAsia="MS Mincho"/>
          <w:szCs w:val="28"/>
          <w:lang w:val="uk-UA" w:eastAsia="ja-JP" w:bidi="ug-CN"/>
        </w:rPr>
        <w:t xml:space="preserve"> (0,97 млрд грн)</w:t>
      </w:r>
      <w:r w:rsidR="00E05FDF" w:rsidRPr="003A653F">
        <w:rPr>
          <w:rFonts w:eastAsia="MS Mincho"/>
          <w:szCs w:val="28"/>
          <w:lang w:val="uk-UA" w:eastAsia="ja-JP" w:bidi="ug-CN"/>
        </w:rPr>
        <w:t>)</w:t>
      </w:r>
      <w:r w:rsidRPr="003A653F">
        <w:rPr>
          <w:rFonts w:eastAsia="MS Mincho"/>
          <w:szCs w:val="28"/>
          <w:lang w:val="uk-UA" w:eastAsia="ja-JP" w:bidi="ug-CN"/>
        </w:rPr>
        <w:t>.</w:t>
      </w: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hAnsi="Times New Roman"/>
          <w:b/>
          <w:bCs/>
          <w:color w:val="000000"/>
          <w:sz w:val="28"/>
          <w:szCs w:val="28"/>
          <w:lang w:bidi="ug-CN"/>
        </w:rPr>
      </w:pPr>
      <w:r w:rsidRPr="000C1055">
        <w:rPr>
          <w:rFonts w:ascii="Times New Roman" w:hAnsi="Times New Roman"/>
          <w:b/>
          <w:bCs/>
          <w:color w:val="000000"/>
          <w:sz w:val="28"/>
          <w:szCs w:val="28"/>
          <w:lang w:bidi="ug-CN"/>
        </w:rPr>
        <w:t>6. Прогноз соціально-економічних та інших наслідків прийняття акту</w:t>
      </w: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8"/>
          <w:szCs w:val="28"/>
          <w:lang w:eastAsia="ja-JP" w:bidi="ug-CN"/>
        </w:rPr>
      </w:pPr>
      <w:r w:rsidRPr="000C1055">
        <w:rPr>
          <w:rFonts w:ascii="Times New Roman" w:eastAsia="MS Mincho" w:hAnsi="Times New Roman"/>
          <w:color w:val="000000"/>
          <w:sz w:val="28"/>
          <w:szCs w:val="28"/>
          <w:lang w:eastAsia="ja-JP" w:bidi="ug-CN"/>
        </w:rPr>
        <w:t xml:space="preserve">Прийняття законопроекту сприятиме зниженню дефіциту брухту чорних металів на внутрішньому ринку та забезпеченню першочергових потреб підприємств оборонної галузі, відновленню інфраструктури. </w:t>
      </w:r>
    </w:p>
    <w:p w:rsidR="002C2766" w:rsidRPr="000C1055" w:rsidRDefault="002C2766" w:rsidP="00B94141">
      <w:pPr>
        <w:widowControl w:val="0"/>
        <w:spacing w:before="60" w:after="60"/>
        <w:ind w:firstLine="709"/>
        <w:jc w:val="both"/>
        <w:rPr>
          <w:rFonts w:ascii="Times New Roman" w:hAnsi="Times New Roman"/>
          <w:color w:val="000000"/>
          <w:sz w:val="28"/>
          <w:szCs w:val="28"/>
          <w:lang w:eastAsia="ru-RU" w:bidi="ug-CN"/>
        </w:rPr>
      </w:pPr>
      <w:r w:rsidRPr="000C1055">
        <w:rPr>
          <w:rFonts w:ascii="Times New Roman" w:hAnsi="Times New Roman"/>
          <w:color w:val="000000"/>
          <w:sz w:val="28"/>
          <w:szCs w:val="28"/>
          <w:lang w:eastAsia="ru-RU" w:bidi="ug-CN"/>
        </w:rPr>
        <w:t xml:space="preserve">Крім того, наявність доступної сировини на внутрішньому ринку сприятиме безперебійному функціонуванню вітчизняної металургійної промисловості, а, отже, збереже робочі місця в реальному секторі економіки, </w:t>
      </w:r>
      <w:r w:rsidR="00597799" w:rsidRPr="000C1055">
        <w:rPr>
          <w:rFonts w:ascii="Times New Roman" w:hAnsi="Times New Roman"/>
          <w:color w:val="000000"/>
          <w:sz w:val="28"/>
          <w:szCs w:val="28"/>
          <w:lang w:eastAsia="ru-RU" w:bidi="ug-CN"/>
        </w:rPr>
        <w:t xml:space="preserve">забезпечить </w:t>
      </w:r>
      <w:r w:rsidRPr="000C1055">
        <w:rPr>
          <w:rFonts w:ascii="Times New Roman" w:hAnsi="Times New Roman"/>
          <w:color w:val="000000"/>
          <w:sz w:val="28"/>
          <w:szCs w:val="28"/>
          <w:lang w:eastAsia="ru-RU" w:bidi="ug-CN"/>
        </w:rPr>
        <w:t xml:space="preserve">додаткові податкові і митні надходження до бюджетів всіх рівнів. </w:t>
      </w:r>
    </w:p>
    <w:p w:rsidR="0045213A" w:rsidRPr="000C1055" w:rsidRDefault="002C2766" w:rsidP="00B94141">
      <w:pPr>
        <w:widowControl w:val="0"/>
        <w:spacing w:before="60" w:after="60"/>
        <w:ind w:firstLine="709"/>
        <w:jc w:val="both"/>
        <w:rPr>
          <w:rFonts w:ascii="Times New Roman" w:eastAsia="MS Mincho" w:hAnsi="Times New Roman"/>
          <w:color w:val="000000"/>
          <w:sz w:val="28"/>
          <w:szCs w:val="28"/>
          <w:lang w:eastAsia="ja-JP"/>
        </w:rPr>
      </w:pPr>
      <w:r w:rsidRPr="000C1055">
        <w:rPr>
          <w:rFonts w:ascii="Times New Roman" w:hAnsi="Times New Roman"/>
          <w:color w:val="000000"/>
          <w:sz w:val="28"/>
          <w:szCs w:val="28"/>
          <w:lang w:eastAsia="ru-RU" w:bidi="ug-CN"/>
        </w:rPr>
        <w:t>Так, за оцінками експертів, запровадження експортного мита забезпечить більш ефективний перерозподіл вивільнених ресурсів на користь вітчизняної металургійної промисловості та</w:t>
      </w:r>
      <w:r w:rsidR="0045213A" w:rsidRPr="000C1055">
        <w:rPr>
          <w:rFonts w:ascii="Times New Roman" w:hAnsi="Times New Roman"/>
          <w:color w:val="000000"/>
          <w:sz w:val="28"/>
          <w:szCs w:val="28"/>
          <w:lang w:eastAsia="ru-RU" w:bidi="ug-CN"/>
        </w:rPr>
        <w:t xml:space="preserve"> </w:t>
      </w:r>
      <w:r w:rsidR="0045213A" w:rsidRPr="000C1055">
        <w:rPr>
          <w:rFonts w:ascii="Times New Roman" w:eastAsia="MS Mincho" w:hAnsi="Times New Roman"/>
          <w:color w:val="000000"/>
          <w:sz w:val="28"/>
          <w:szCs w:val="28"/>
          <w:lang w:eastAsia="ja-JP"/>
        </w:rPr>
        <w:t xml:space="preserve">сприятиме активізації </w:t>
      </w:r>
      <w:r w:rsidR="0045213A" w:rsidRPr="00D33D9E">
        <w:rPr>
          <w:rFonts w:ascii="Times New Roman" w:eastAsia="MS Mincho" w:hAnsi="Times New Roman"/>
          <w:sz w:val="28"/>
          <w:szCs w:val="28"/>
          <w:lang w:eastAsia="ja-JP"/>
        </w:rPr>
        <w:t xml:space="preserve">переробного виробництва в металургійній та машинобудівній галузях, </w:t>
      </w:r>
      <w:r w:rsidR="001E467D" w:rsidRPr="00D33D9E">
        <w:rPr>
          <w:rFonts w:ascii="Times New Roman" w:eastAsia="MS Mincho" w:hAnsi="Times New Roman"/>
          <w:sz w:val="28"/>
          <w:szCs w:val="28"/>
          <w:lang w:eastAsia="ja-JP"/>
        </w:rPr>
        <w:t xml:space="preserve">військово-промисловому комплексі, що призведе до додаткового зростання ВВП України на </w:t>
      </w:r>
      <w:r w:rsidR="00C2279F" w:rsidRPr="00D33D9E">
        <w:rPr>
          <w:rFonts w:ascii="Times New Roman" w:eastAsia="MS Mincho" w:hAnsi="Times New Roman"/>
          <w:sz w:val="28"/>
          <w:szCs w:val="28"/>
          <w:lang w:eastAsia="ja-JP"/>
        </w:rPr>
        <w:t>0,1</w:t>
      </w:r>
      <w:r w:rsidR="008508B3" w:rsidRPr="00D33D9E">
        <w:rPr>
          <w:rFonts w:ascii="Times New Roman" w:eastAsia="MS Mincho" w:hAnsi="Times New Roman"/>
          <w:sz w:val="28"/>
          <w:szCs w:val="28"/>
          <w:lang w:eastAsia="ja-JP"/>
        </w:rPr>
        <w:t>3</w:t>
      </w:r>
      <w:r w:rsidR="00C2279F" w:rsidRPr="00D33D9E">
        <w:rPr>
          <w:rFonts w:ascii="Times New Roman" w:eastAsia="MS Mincho" w:hAnsi="Times New Roman"/>
          <w:sz w:val="28"/>
          <w:szCs w:val="28"/>
          <w:lang w:eastAsia="ja-JP"/>
        </w:rPr>
        <w:t xml:space="preserve"> в.</w:t>
      </w:r>
      <w:r w:rsidR="00D33D9E" w:rsidRPr="00D33D9E">
        <w:rPr>
          <w:rFonts w:ascii="Times New Roman" w:eastAsia="MS Mincho" w:hAnsi="Times New Roman"/>
          <w:sz w:val="28"/>
          <w:szCs w:val="28"/>
          <w:lang w:eastAsia="ja-JP"/>
        </w:rPr>
        <w:t xml:space="preserve"> </w:t>
      </w:r>
      <w:r w:rsidR="00C2279F" w:rsidRPr="00D33D9E">
        <w:rPr>
          <w:rFonts w:ascii="Times New Roman" w:eastAsia="MS Mincho" w:hAnsi="Times New Roman"/>
          <w:sz w:val="28"/>
          <w:szCs w:val="28"/>
          <w:lang w:eastAsia="ja-JP"/>
        </w:rPr>
        <w:t>п. та</w:t>
      </w:r>
      <w:r w:rsidR="001E467D" w:rsidRPr="00D33D9E">
        <w:rPr>
          <w:rFonts w:ascii="Times New Roman" w:eastAsia="MS Mincho" w:hAnsi="Times New Roman"/>
          <w:sz w:val="28"/>
          <w:szCs w:val="28"/>
          <w:lang w:eastAsia="ja-JP"/>
        </w:rPr>
        <w:t xml:space="preserve"> створення </w:t>
      </w:r>
      <w:r w:rsidR="001E467D" w:rsidRPr="003A653F">
        <w:rPr>
          <w:rFonts w:ascii="Times New Roman" w:eastAsia="MS Mincho" w:hAnsi="Times New Roman"/>
          <w:sz w:val="28"/>
          <w:szCs w:val="28"/>
          <w:lang w:eastAsia="ja-JP"/>
        </w:rPr>
        <w:t xml:space="preserve">близько </w:t>
      </w:r>
      <w:r w:rsidR="00D33D9E" w:rsidRPr="003A653F">
        <w:rPr>
          <w:rFonts w:ascii="Times New Roman" w:eastAsia="MS Mincho" w:hAnsi="Times New Roman"/>
          <w:sz w:val="28"/>
          <w:szCs w:val="28"/>
          <w:lang w:eastAsia="ja-JP"/>
        </w:rPr>
        <w:t>2</w:t>
      </w:r>
      <w:r w:rsidR="001E467D" w:rsidRPr="003A653F">
        <w:rPr>
          <w:rFonts w:ascii="Times New Roman" w:eastAsia="MS Mincho" w:hAnsi="Times New Roman"/>
          <w:sz w:val="28"/>
          <w:szCs w:val="28"/>
          <w:lang w:eastAsia="ja-JP"/>
        </w:rPr>
        <w:t>,</w:t>
      </w:r>
      <w:r w:rsidR="00D33D9E" w:rsidRPr="003A653F">
        <w:rPr>
          <w:rFonts w:ascii="Times New Roman" w:eastAsia="MS Mincho" w:hAnsi="Times New Roman"/>
          <w:sz w:val="28"/>
          <w:szCs w:val="28"/>
          <w:lang w:eastAsia="ja-JP"/>
        </w:rPr>
        <w:t>6</w:t>
      </w:r>
      <w:r w:rsidR="001E467D" w:rsidRPr="003A653F">
        <w:rPr>
          <w:rFonts w:ascii="Times New Roman" w:eastAsia="MS Mincho" w:hAnsi="Times New Roman"/>
          <w:sz w:val="28"/>
          <w:szCs w:val="28"/>
          <w:lang w:eastAsia="ja-JP"/>
        </w:rPr>
        <w:t xml:space="preserve"> тис.</w:t>
      </w:r>
      <w:r w:rsidR="001E467D" w:rsidRPr="003A653F">
        <w:rPr>
          <w:rFonts w:ascii="Times New Roman" w:eastAsia="MS Mincho" w:hAnsi="Times New Roman"/>
          <w:color w:val="FF0000"/>
          <w:sz w:val="28"/>
          <w:szCs w:val="28"/>
          <w:lang w:eastAsia="ja-JP"/>
        </w:rPr>
        <w:t xml:space="preserve"> </w:t>
      </w:r>
      <w:r w:rsidR="001E467D" w:rsidRPr="003A653F">
        <w:rPr>
          <w:rFonts w:ascii="Times New Roman" w:eastAsia="MS Mincho" w:hAnsi="Times New Roman"/>
          <w:color w:val="000000"/>
          <w:sz w:val="28"/>
          <w:szCs w:val="28"/>
          <w:lang w:eastAsia="ja-JP"/>
        </w:rPr>
        <w:t>додаткових робочих місць.</w:t>
      </w:r>
    </w:p>
    <w:p w:rsidR="002C2766" w:rsidRPr="000C1055" w:rsidRDefault="002C2766" w:rsidP="00B94141">
      <w:pPr>
        <w:widowControl w:val="0"/>
        <w:tabs>
          <w:tab w:val="left" w:pos="993"/>
        </w:tabs>
        <w:autoSpaceDE w:val="0"/>
        <w:autoSpaceDN w:val="0"/>
        <w:adjustRightInd w:val="0"/>
        <w:spacing w:before="120" w:after="120"/>
        <w:ind w:firstLine="567"/>
        <w:jc w:val="both"/>
        <w:rPr>
          <w:rFonts w:ascii="Times New Roman" w:eastAsia="MS Mincho" w:hAnsi="Times New Roman"/>
          <w:color w:val="000000"/>
          <w:sz w:val="2"/>
          <w:szCs w:val="28"/>
          <w:lang w:eastAsia="ja-JP" w:bidi="ug-CN"/>
        </w:rPr>
      </w:pPr>
    </w:p>
    <w:p w:rsidR="00B31C65" w:rsidRPr="00B31C65" w:rsidRDefault="002C2766" w:rsidP="00B31C65">
      <w:pPr>
        <w:spacing w:after="0"/>
        <w:ind w:firstLine="567"/>
        <w:rPr>
          <w:rFonts w:ascii="Times New Roman" w:hAnsi="Times New Roman"/>
          <w:b/>
          <w:color w:val="000000"/>
          <w:sz w:val="28"/>
          <w:szCs w:val="28"/>
          <w:lang w:eastAsia="ar-SA"/>
        </w:rPr>
      </w:pPr>
      <w:r w:rsidRPr="000C1055">
        <w:rPr>
          <w:rFonts w:ascii="Times New Roman" w:hAnsi="Times New Roman"/>
          <w:b/>
          <w:color w:val="000000"/>
          <w:sz w:val="28"/>
          <w:szCs w:val="28"/>
          <w:lang w:eastAsia="ar-SA"/>
        </w:rPr>
        <w:t xml:space="preserve">Народні депутати України   </w:t>
      </w:r>
      <w:r w:rsidRPr="000C1055">
        <w:rPr>
          <w:rFonts w:ascii="Times New Roman" w:hAnsi="Times New Roman"/>
          <w:b/>
          <w:color w:val="000000"/>
          <w:sz w:val="28"/>
          <w:szCs w:val="28"/>
          <w:lang w:eastAsia="ar-SA"/>
        </w:rPr>
        <w:tab/>
      </w:r>
      <w:r w:rsidRPr="000C1055">
        <w:rPr>
          <w:rFonts w:ascii="Times New Roman" w:hAnsi="Times New Roman"/>
          <w:b/>
          <w:color w:val="000000"/>
          <w:sz w:val="28"/>
          <w:szCs w:val="28"/>
          <w:lang w:eastAsia="ar-SA"/>
        </w:rPr>
        <w:tab/>
      </w:r>
      <w:r w:rsidR="00B31C65" w:rsidRPr="00B31C65">
        <w:rPr>
          <w:rFonts w:ascii="Times New Roman" w:hAnsi="Times New Roman"/>
          <w:b/>
          <w:color w:val="000000"/>
          <w:sz w:val="28"/>
          <w:szCs w:val="28"/>
          <w:lang w:eastAsia="ar-SA"/>
        </w:rPr>
        <w:t>Ляшко О. В.</w:t>
      </w:r>
    </w:p>
    <w:p w:rsidR="00B31C65" w:rsidRPr="00B31C65" w:rsidRDefault="00B31C65" w:rsidP="00B31C65">
      <w:pPr>
        <w:spacing w:after="0"/>
        <w:ind w:firstLine="4962"/>
        <w:rPr>
          <w:rFonts w:ascii="Times New Roman" w:hAnsi="Times New Roman"/>
          <w:b/>
          <w:color w:val="000000"/>
          <w:sz w:val="28"/>
          <w:szCs w:val="28"/>
          <w:lang w:eastAsia="ar-SA"/>
        </w:rPr>
      </w:pPr>
      <w:bookmarkStart w:id="0" w:name="_GoBack"/>
      <w:bookmarkEnd w:id="0"/>
      <w:r w:rsidRPr="00B31C65">
        <w:rPr>
          <w:rFonts w:ascii="Times New Roman" w:hAnsi="Times New Roman"/>
          <w:b/>
          <w:color w:val="000000"/>
          <w:sz w:val="28"/>
          <w:szCs w:val="28"/>
          <w:lang w:eastAsia="ar-SA"/>
        </w:rPr>
        <w:t>Галасюк В. В.</w:t>
      </w:r>
    </w:p>
    <w:p w:rsidR="00B31C65" w:rsidRPr="00B31C65" w:rsidRDefault="00B31C65" w:rsidP="00B31C65">
      <w:pPr>
        <w:spacing w:after="0"/>
        <w:ind w:firstLine="4962"/>
        <w:rPr>
          <w:rFonts w:ascii="Times New Roman" w:hAnsi="Times New Roman"/>
          <w:b/>
          <w:color w:val="000000"/>
          <w:sz w:val="28"/>
          <w:szCs w:val="28"/>
          <w:lang w:eastAsia="ar-SA"/>
        </w:rPr>
      </w:pPr>
      <w:r w:rsidRPr="00B31C65">
        <w:rPr>
          <w:rFonts w:ascii="Times New Roman" w:hAnsi="Times New Roman"/>
          <w:b/>
          <w:color w:val="000000"/>
          <w:sz w:val="28"/>
          <w:szCs w:val="28"/>
          <w:lang w:eastAsia="ar-SA"/>
        </w:rPr>
        <w:t>Єфімов М. В.</w:t>
      </w:r>
    </w:p>
    <w:p w:rsidR="00B31C65" w:rsidRPr="00B31C65" w:rsidRDefault="00B31C65" w:rsidP="00B31C65">
      <w:pPr>
        <w:spacing w:after="0"/>
        <w:ind w:firstLine="4962"/>
        <w:rPr>
          <w:rFonts w:ascii="Times New Roman" w:hAnsi="Times New Roman"/>
          <w:b/>
          <w:color w:val="000000"/>
          <w:sz w:val="28"/>
          <w:szCs w:val="28"/>
          <w:lang w:eastAsia="ar-SA"/>
        </w:rPr>
      </w:pPr>
      <w:r w:rsidRPr="00B31C65">
        <w:rPr>
          <w:rFonts w:ascii="Times New Roman" w:hAnsi="Times New Roman"/>
          <w:b/>
          <w:color w:val="000000"/>
          <w:sz w:val="28"/>
          <w:szCs w:val="28"/>
          <w:lang w:eastAsia="ar-SA"/>
        </w:rPr>
        <w:t>Кужель О. В.</w:t>
      </w:r>
    </w:p>
    <w:p w:rsidR="00B31C65" w:rsidRPr="00B31C65" w:rsidRDefault="00B31C65" w:rsidP="00B31C65">
      <w:pPr>
        <w:spacing w:after="0"/>
        <w:ind w:firstLine="4962"/>
        <w:rPr>
          <w:rFonts w:ascii="Times New Roman" w:hAnsi="Times New Roman"/>
          <w:b/>
          <w:color w:val="000000"/>
          <w:sz w:val="28"/>
          <w:szCs w:val="28"/>
          <w:lang w:eastAsia="ar-SA"/>
        </w:rPr>
      </w:pPr>
      <w:proofErr w:type="spellStart"/>
      <w:r w:rsidRPr="00B31C65">
        <w:rPr>
          <w:rFonts w:ascii="Times New Roman" w:hAnsi="Times New Roman"/>
          <w:b/>
          <w:color w:val="000000"/>
          <w:sz w:val="28"/>
          <w:szCs w:val="28"/>
          <w:lang w:eastAsia="ar-SA"/>
        </w:rPr>
        <w:lastRenderedPageBreak/>
        <w:t>Кривошея</w:t>
      </w:r>
      <w:proofErr w:type="spellEnd"/>
      <w:r w:rsidRPr="00B31C65">
        <w:rPr>
          <w:rFonts w:ascii="Times New Roman" w:hAnsi="Times New Roman"/>
          <w:b/>
          <w:color w:val="000000"/>
          <w:sz w:val="28"/>
          <w:szCs w:val="28"/>
          <w:lang w:eastAsia="ar-SA"/>
        </w:rPr>
        <w:t xml:space="preserve"> Г. Г.</w:t>
      </w:r>
    </w:p>
    <w:p w:rsidR="00B31C65" w:rsidRPr="00B31C65" w:rsidRDefault="00B31C65" w:rsidP="00B31C65">
      <w:pPr>
        <w:spacing w:after="0"/>
        <w:ind w:firstLine="4962"/>
        <w:rPr>
          <w:rFonts w:ascii="Times New Roman" w:hAnsi="Times New Roman"/>
          <w:b/>
          <w:color w:val="000000"/>
          <w:sz w:val="28"/>
          <w:szCs w:val="28"/>
          <w:lang w:eastAsia="ar-SA"/>
        </w:rPr>
      </w:pPr>
      <w:proofErr w:type="spellStart"/>
      <w:r w:rsidRPr="00B31C65">
        <w:rPr>
          <w:rFonts w:ascii="Times New Roman" w:hAnsi="Times New Roman"/>
          <w:b/>
          <w:color w:val="000000"/>
          <w:sz w:val="28"/>
          <w:szCs w:val="28"/>
          <w:lang w:eastAsia="ar-SA"/>
        </w:rPr>
        <w:t>Дубінін</w:t>
      </w:r>
      <w:proofErr w:type="spellEnd"/>
      <w:r w:rsidRPr="00B31C65">
        <w:rPr>
          <w:rFonts w:ascii="Times New Roman" w:hAnsi="Times New Roman"/>
          <w:b/>
          <w:color w:val="000000"/>
          <w:sz w:val="28"/>
          <w:szCs w:val="28"/>
          <w:lang w:eastAsia="ar-SA"/>
        </w:rPr>
        <w:t xml:space="preserve"> О. І.</w:t>
      </w:r>
    </w:p>
    <w:p w:rsidR="00B31C65" w:rsidRPr="00B31C65" w:rsidRDefault="00B31C65" w:rsidP="00B31C65">
      <w:pPr>
        <w:spacing w:after="0"/>
        <w:ind w:firstLine="4962"/>
        <w:rPr>
          <w:rFonts w:ascii="Times New Roman" w:hAnsi="Times New Roman"/>
          <w:b/>
          <w:color w:val="000000"/>
          <w:sz w:val="28"/>
          <w:szCs w:val="28"/>
          <w:lang w:eastAsia="ar-SA"/>
        </w:rPr>
      </w:pPr>
      <w:proofErr w:type="spellStart"/>
      <w:r w:rsidRPr="00B31C65">
        <w:rPr>
          <w:rFonts w:ascii="Times New Roman" w:hAnsi="Times New Roman"/>
          <w:b/>
          <w:color w:val="000000"/>
          <w:sz w:val="28"/>
          <w:szCs w:val="28"/>
          <w:lang w:eastAsia="ar-SA"/>
        </w:rPr>
        <w:t>Кірш</w:t>
      </w:r>
      <w:proofErr w:type="spellEnd"/>
      <w:r w:rsidRPr="00B31C65">
        <w:rPr>
          <w:rFonts w:ascii="Times New Roman" w:hAnsi="Times New Roman"/>
          <w:b/>
          <w:color w:val="000000"/>
          <w:sz w:val="28"/>
          <w:szCs w:val="28"/>
          <w:lang w:eastAsia="ar-SA"/>
        </w:rPr>
        <w:t xml:space="preserve"> О. В.</w:t>
      </w:r>
    </w:p>
    <w:p w:rsidR="00B31C65" w:rsidRPr="00B31C65" w:rsidRDefault="00B31C65" w:rsidP="00B31C65">
      <w:pPr>
        <w:spacing w:after="0"/>
        <w:ind w:firstLine="4962"/>
        <w:rPr>
          <w:rFonts w:ascii="Times New Roman" w:hAnsi="Times New Roman"/>
          <w:b/>
          <w:color w:val="000000"/>
          <w:sz w:val="28"/>
          <w:szCs w:val="28"/>
          <w:lang w:eastAsia="ar-SA"/>
        </w:rPr>
      </w:pPr>
      <w:proofErr w:type="spellStart"/>
      <w:r w:rsidRPr="00B31C65">
        <w:rPr>
          <w:rFonts w:ascii="Times New Roman" w:hAnsi="Times New Roman"/>
          <w:b/>
          <w:color w:val="000000"/>
          <w:sz w:val="28"/>
          <w:szCs w:val="28"/>
          <w:lang w:eastAsia="ar-SA"/>
        </w:rPr>
        <w:t>Розенблат</w:t>
      </w:r>
      <w:proofErr w:type="spellEnd"/>
      <w:r w:rsidRPr="00B31C65">
        <w:rPr>
          <w:rFonts w:ascii="Times New Roman" w:hAnsi="Times New Roman"/>
          <w:b/>
          <w:color w:val="000000"/>
          <w:sz w:val="28"/>
          <w:szCs w:val="28"/>
          <w:lang w:eastAsia="ar-SA"/>
        </w:rPr>
        <w:t xml:space="preserve"> Б. С.</w:t>
      </w:r>
    </w:p>
    <w:p w:rsidR="002C2766" w:rsidRPr="000C1055" w:rsidRDefault="00B31C65" w:rsidP="00B31C65">
      <w:pPr>
        <w:spacing w:after="0"/>
        <w:ind w:firstLine="4962"/>
        <w:rPr>
          <w:rFonts w:ascii="Times New Roman" w:hAnsi="Times New Roman"/>
          <w:color w:val="000000"/>
          <w:sz w:val="28"/>
          <w:szCs w:val="28"/>
          <w:lang w:bidi="ug-CN"/>
        </w:rPr>
      </w:pPr>
      <w:proofErr w:type="spellStart"/>
      <w:r w:rsidRPr="00B31C65">
        <w:rPr>
          <w:rFonts w:ascii="Times New Roman" w:hAnsi="Times New Roman"/>
          <w:b/>
          <w:color w:val="000000"/>
          <w:sz w:val="28"/>
          <w:szCs w:val="28"/>
          <w:lang w:eastAsia="ar-SA"/>
        </w:rPr>
        <w:t>Кіраль</w:t>
      </w:r>
      <w:proofErr w:type="spellEnd"/>
      <w:r w:rsidRPr="00B31C65">
        <w:rPr>
          <w:rFonts w:ascii="Times New Roman" w:hAnsi="Times New Roman"/>
          <w:b/>
          <w:color w:val="000000"/>
          <w:sz w:val="28"/>
          <w:szCs w:val="28"/>
          <w:lang w:eastAsia="ar-SA"/>
        </w:rPr>
        <w:t xml:space="preserve"> С. І.</w:t>
      </w:r>
    </w:p>
    <w:p w:rsidR="001A34CE" w:rsidRPr="000C1055" w:rsidRDefault="001A34CE" w:rsidP="00B94141">
      <w:pPr>
        <w:rPr>
          <w:rFonts w:ascii="Times New Roman" w:hAnsi="Times New Roman"/>
          <w:color w:val="000000"/>
          <w:sz w:val="28"/>
          <w:szCs w:val="28"/>
          <w:lang w:bidi="ug-CN"/>
        </w:rPr>
      </w:pPr>
    </w:p>
    <w:sectPr w:rsidR="001A34CE" w:rsidRPr="000C1055" w:rsidSect="00661740">
      <w:headerReference w:type="even" r:id="rId18"/>
      <w:headerReference w:type="default" r:id="rId1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CDD" w:rsidRDefault="003C2CDD">
      <w:pPr>
        <w:spacing w:after="0" w:line="240" w:lineRule="auto"/>
      </w:pPr>
      <w:r>
        <w:separator/>
      </w:r>
    </w:p>
  </w:endnote>
  <w:endnote w:type="continuationSeparator" w:id="0">
    <w:p w:rsidR="003C2CDD" w:rsidRDefault="003C2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Lucida Grande CY">
    <w:altName w:val="Times New Roman"/>
    <w:charset w:val="59"/>
    <w:family w:val="auto"/>
    <w:pitch w:val="variable"/>
    <w:sig w:usb0="00000000" w:usb1="5000A1FF" w:usb2="00000000" w:usb3="00000000" w:csb0="000001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CDD" w:rsidRDefault="003C2CDD">
      <w:pPr>
        <w:spacing w:after="0" w:line="240" w:lineRule="auto"/>
      </w:pPr>
      <w:r>
        <w:separator/>
      </w:r>
    </w:p>
  </w:footnote>
  <w:footnote w:type="continuationSeparator" w:id="0">
    <w:p w:rsidR="003C2CDD" w:rsidRDefault="003C2C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614" w:rsidRDefault="00423614" w:rsidP="001A34CE">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423614" w:rsidRDefault="0042361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614" w:rsidRPr="00A933F9" w:rsidRDefault="00423614" w:rsidP="001A34CE">
    <w:pPr>
      <w:pStyle w:val="a3"/>
      <w:framePr w:wrap="around" w:vAnchor="text" w:hAnchor="margin" w:xAlign="center" w:y="1"/>
      <w:rPr>
        <w:rStyle w:val="a7"/>
        <w:rFonts w:ascii="Times New Roman" w:hAnsi="Times New Roman"/>
      </w:rPr>
    </w:pPr>
    <w:r w:rsidRPr="00A933F9">
      <w:rPr>
        <w:rStyle w:val="a7"/>
        <w:rFonts w:ascii="Times New Roman" w:hAnsi="Times New Roman"/>
      </w:rPr>
      <w:fldChar w:fldCharType="begin"/>
    </w:r>
    <w:r w:rsidRPr="00A933F9">
      <w:rPr>
        <w:rStyle w:val="a7"/>
        <w:rFonts w:ascii="Times New Roman" w:hAnsi="Times New Roman"/>
      </w:rPr>
      <w:instrText xml:space="preserve">PAGE  </w:instrText>
    </w:r>
    <w:r w:rsidRPr="00A933F9">
      <w:rPr>
        <w:rStyle w:val="a7"/>
        <w:rFonts w:ascii="Times New Roman" w:hAnsi="Times New Roman"/>
      </w:rPr>
      <w:fldChar w:fldCharType="separate"/>
    </w:r>
    <w:r w:rsidR="00B31C65">
      <w:rPr>
        <w:rStyle w:val="a7"/>
        <w:rFonts w:ascii="Times New Roman" w:hAnsi="Times New Roman"/>
        <w:noProof/>
      </w:rPr>
      <w:t>11</w:t>
    </w:r>
    <w:r w:rsidRPr="00A933F9">
      <w:rPr>
        <w:rStyle w:val="a7"/>
        <w:rFonts w:ascii="Times New Roman" w:hAnsi="Times New Roman"/>
      </w:rPr>
      <w:fldChar w:fldCharType="end"/>
    </w:r>
  </w:p>
  <w:p w:rsidR="00423614" w:rsidRDefault="004236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7E0D7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975B2"/>
    <w:multiLevelType w:val="hybridMultilevel"/>
    <w:tmpl w:val="21F06DD4"/>
    <w:lvl w:ilvl="0" w:tplc="A1FCECD8">
      <w:start w:val="3"/>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D011FE5"/>
    <w:multiLevelType w:val="hybridMultilevel"/>
    <w:tmpl w:val="AA643356"/>
    <w:lvl w:ilvl="0" w:tplc="A1FCECD8">
      <w:start w:val="3"/>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44BB7DBA"/>
    <w:multiLevelType w:val="hybridMultilevel"/>
    <w:tmpl w:val="EAB232FA"/>
    <w:lvl w:ilvl="0" w:tplc="1890AE8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nsid w:val="51403E9B"/>
    <w:multiLevelType w:val="hybridMultilevel"/>
    <w:tmpl w:val="1C96141E"/>
    <w:lvl w:ilvl="0" w:tplc="AFAC065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562A506F"/>
    <w:multiLevelType w:val="hybridMultilevel"/>
    <w:tmpl w:val="8CB477AA"/>
    <w:lvl w:ilvl="0" w:tplc="4CFA679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2C14451"/>
    <w:multiLevelType w:val="hybridMultilevel"/>
    <w:tmpl w:val="A6D6EC70"/>
    <w:lvl w:ilvl="0" w:tplc="D5A0008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77647EC3"/>
    <w:multiLevelType w:val="hybridMultilevel"/>
    <w:tmpl w:val="F7DE9FCA"/>
    <w:lvl w:ilvl="0" w:tplc="CFB265E8">
      <w:start w:val="1"/>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7"/>
  </w:num>
  <w:num w:numId="5">
    <w:abstractNumId w:val="4"/>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B98"/>
    <w:rsid w:val="00003B1D"/>
    <w:rsid w:val="00004F10"/>
    <w:rsid w:val="00013917"/>
    <w:rsid w:val="000307F6"/>
    <w:rsid w:val="00030B10"/>
    <w:rsid w:val="00036284"/>
    <w:rsid w:val="000677C6"/>
    <w:rsid w:val="000757A9"/>
    <w:rsid w:val="00080156"/>
    <w:rsid w:val="00084442"/>
    <w:rsid w:val="00087F75"/>
    <w:rsid w:val="000B0882"/>
    <w:rsid w:val="000B537F"/>
    <w:rsid w:val="000C1055"/>
    <w:rsid w:val="000D2699"/>
    <w:rsid w:val="000D623F"/>
    <w:rsid w:val="000F22FC"/>
    <w:rsid w:val="001114FC"/>
    <w:rsid w:val="00115FCA"/>
    <w:rsid w:val="00116540"/>
    <w:rsid w:val="00125E0F"/>
    <w:rsid w:val="00127748"/>
    <w:rsid w:val="00134509"/>
    <w:rsid w:val="001428F5"/>
    <w:rsid w:val="00145074"/>
    <w:rsid w:val="00146C8C"/>
    <w:rsid w:val="001470D0"/>
    <w:rsid w:val="0015245A"/>
    <w:rsid w:val="00173B10"/>
    <w:rsid w:val="00180BD2"/>
    <w:rsid w:val="001937A4"/>
    <w:rsid w:val="001976EF"/>
    <w:rsid w:val="001A34CE"/>
    <w:rsid w:val="001B395E"/>
    <w:rsid w:val="001B575B"/>
    <w:rsid w:val="001C4771"/>
    <w:rsid w:val="001D2C7B"/>
    <w:rsid w:val="001E0033"/>
    <w:rsid w:val="001E1D80"/>
    <w:rsid w:val="001E467D"/>
    <w:rsid w:val="001F3861"/>
    <w:rsid w:val="00201753"/>
    <w:rsid w:val="00202691"/>
    <w:rsid w:val="00203E4C"/>
    <w:rsid w:val="0021177C"/>
    <w:rsid w:val="00224D31"/>
    <w:rsid w:val="00224F1C"/>
    <w:rsid w:val="002302E1"/>
    <w:rsid w:val="00230B63"/>
    <w:rsid w:val="00242A2E"/>
    <w:rsid w:val="002535B5"/>
    <w:rsid w:val="00254C24"/>
    <w:rsid w:val="00257B07"/>
    <w:rsid w:val="002746AE"/>
    <w:rsid w:val="00280A50"/>
    <w:rsid w:val="002819B6"/>
    <w:rsid w:val="00282509"/>
    <w:rsid w:val="0028516E"/>
    <w:rsid w:val="00285DD1"/>
    <w:rsid w:val="002945AA"/>
    <w:rsid w:val="002A772F"/>
    <w:rsid w:val="002C2766"/>
    <w:rsid w:val="002C5AA1"/>
    <w:rsid w:val="002F290F"/>
    <w:rsid w:val="002F2DAC"/>
    <w:rsid w:val="00302F0C"/>
    <w:rsid w:val="00310FFB"/>
    <w:rsid w:val="00325A3B"/>
    <w:rsid w:val="003316DA"/>
    <w:rsid w:val="00352604"/>
    <w:rsid w:val="003561A9"/>
    <w:rsid w:val="00376381"/>
    <w:rsid w:val="00384B65"/>
    <w:rsid w:val="00385609"/>
    <w:rsid w:val="00386D99"/>
    <w:rsid w:val="0038790C"/>
    <w:rsid w:val="00387D7B"/>
    <w:rsid w:val="003A38A7"/>
    <w:rsid w:val="003A653F"/>
    <w:rsid w:val="003B0697"/>
    <w:rsid w:val="003B1680"/>
    <w:rsid w:val="003B1F09"/>
    <w:rsid w:val="003B2C04"/>
    <w:rsid w:val="003C2CDD"/>
    <w:rsid w:val="003C3786"/>
    <w:rsid w:val="003C3C70"/>
    <w:rsid w:val="003C42D5"/>
    <w:rsid w:val="003D12A8"/>
    <w:rsid w:val="003D4CA6"/>
    <w:rsid w:val="003E3AB8"/>
    <w:rsid w:val="003F13FD"/>
    <w:rsid w:val="00405051"/>
    <w:rsid w:val="00423614"/>
    <w:rsid w:val="00437F3A"/>
    <w:rsid w:val="00443D8D"/>
    <w:rsid w:val="00447BA9"/>
    <w:rsid w:val="00450852"/>
    <w:rsid w:val="0045213A"/>
    <w:rsid w:val="00457D9D"/>
    <w:rsid w:val="00461144"/>
    <w:rsid w:val="00480593"/>
    <w:rsid w:val="00484287"/>
    <w:rsid w:val="00490ABC"/>
    <w:rsid w:val="00493310"/>
    <w:rsid w:val="004B02A8"/>
    <w:rsid w:val="004C0C3D"/>
    <w:rsid w:val="004C36DE"/>
    <w:rsid w:val="004C6D03"/>
    <w:rsid w:val="004D56F0"/>
    <w:rsid w:val="004D7A49"/>
    <w:rsid w:val="004F475F"/>
    <w:rsid w:val="004F6E09"/>
    <w:rsid w:val="005012DF"/>
    <w:rsid w:val="005021CA"/>
    <w:rsid w:val="005044A7"/>
    <w:rsid w:val="00505209"/>
    <w:rsid w:val="00505E56"/>
    <w:rsid w:val="0052355B"/>
    <w:rsid w:val="00524769"/>
    <w:rsid w:val="005363B0"/>
    <w:rsid w:val="00541E33"/>
    <w:rsid w:val="00542926"/>
    <w:rsid w:val="00561EB5"/>
    <w:rsid w:val="00562728"/>
    <w:rsid w:val="005759F5"/>
    <w:rsid w:val="00581BAD"/>
    <w:rsid w:val="00585637"/>
    <w:rsid w:val="005866AE"/>
    <w:rsid w:val="005875FA"/>
    <w:rsid w:val="00591918"/>
    <w:rsid w:val="00596948"/>
    <w:rsid w:val="00597799"/>
    <w:rsid w:val="005A3FEA"/>
    <w:rsid w:val="005B48B6"/>
    <w:rsid w:val="005C1BAB"/>
    <w:rsid w:val="005C6E51"/>
    <w:rsid w:val="005D3C01"/>
    <w:rsid w:val="006003A5"/>
    <w:rsid w:val="00606D71"/>
    <w:rsid w:val="006117DF"/>
    <w:rsid w:val="00614FD0"/>
    <w:rsid w:val="006326E0"/>
    <w:rsid w:val="00644E24"/>
    <w:rsid w:val="00657535"/>
    <w:rsid w:val="00661740"/>
    <w:rsid w:val="0066305E"/>
    <w:rsid w:val="00667EC2"/>
    <w:rsid w:val="0067157A"/>
    <w:rsid w:val="006755B2"/>
    <w:rsid w:val="00683951"/>
    <w:rsid w:val="00685864"/>
    <w:rsid w:val="00690C0E"/>
    <w:rsid w:val="006A0D33"/>
    <w:rsid w:val="006A7229"/>
    <w:rsid w:val="006B4FF8"/>
    <w:rsid w:val="006D43DF"/>
    <w:rsid w:val="006E3F48"/>
    <w:rsid w:val="006F2B54"/>
    <w:rsid w:val="00701FCB"/>
    <w:rsid w:val="00703745"/>
    <w:rsid w:val="00706597"/>
    <w:rsid w:val="00713804"/>
    <w:rsid w:val="0071498B"/>
    <w:rsid w:val="00717AAD"/>
    <w:rsid w:val="0072455E"/>
    <w:rsid w:val="00733D93"/>
    <w:rsid w:val="00734CC8"/>
    <w:rsid w:val="00743B2E"/>
    <w:rsid w:val="007660DC"/>
    <w:rsid w:val="0077244D"/>
    <w:rsid w:val="00776FCC"/>
    <w:rsid w:val="0078232F"/>
    <w:rsid w:val="0079368E"/>
    <w:rsid w:val="007B1F57"/>
    <w:rsid w:val="007C71EE"/>
    <w:rsid w:val="007D3D13"/>
    <w:rsid w:val="00804562"/>
    <w:rsid w:val="00817BBF"/>
    <w:rsid w:val="0082656D"/>
    <w:rsid w:val="008327AD"/>
    <w:rsid w:val="008508B3"/>
    <w:rsid w:val="00857161"/>
    <w:rsid w:val="00864C66"/>
    <w:rsid w:val="008668BC"/>
    <w:rsid w:val="00876B98"/>
    <w:rsid w:val="008818F1"/>
    <w:rsid w:val="008901A0"/>
    <w:rsid w:val="00893722"/>
    <w:rsid w:val="00895BB3"/>
    <w:rsid w:val="008A5F98"/>
    <w:rsid w:val="008E176F"/>
    <w:rsid w:val="008E2AB2"/>
    <w:rsid w:val="008F50E3"/>
    <w:rsid w:val="00906C98"/>
    <w:rsid w:val="0091226F"/>
    <w:rsid w:val="009127B5"/>
    <w:rsid w:val="00913D18"/>
    <w:rsid w:val="0094147A"/>
    <w:rsid w:val="00952918"/>
    <w:rsid w:val="009638C4"/>
    <w:rsid w:val="009661B0"/>
    <w:rsid w:val="00984995"/>
    <w:rsid w:val="009A7702"/>
    <w:rsid w:val="009A7A2F"/>
    <w:rsid w:val="009B4A4B"/>
    <w:rsid w:val="009C29A6"/>
    <w:rsid w:val="009C5D28"/>
    <w:rsid w:val="009D2E64"/>
    <w:rsid w:val="009D3712"/>
    <w:rsid w:val="009D7ACD"/>
    <w:rsid w:val="009E606A"/>
    <w:rsid w:val="00A02A4D"/>
    <w:rsid w:val="00A02EBF"/>
    <w:rsid w:val="00A15437"/>
    <w:rsid w:val="00A33EB5"/>
    <w:rsid w:val="00A371DC"/>
    <w:rsid w:val="00A37BA3"/>
    <w:rsid w:val="00A43AFF"/>
    <w:rsid w:val="00A62D65"/>
    <w:rsid w:val="00A6769F"/>
    <w:rsid w:val="00A74507"/>
    <w:rsid w:val="00A83ACA"/>
    <w:rsid w:val="00A915F5"/>
    <w:rsid w:val="00A933F9"/>
    <w:rsid w:val="00AA068F"/>
    <w:rsid w:val="00AA2FC6"/>
    <w:rsid w:val="00AA469C"/>
    <w:rsid w:val="00AA70CC"/>
    <w:rsid w:val="00AC00A7"/>
    <w:rsid w:val="00AC04A1"/>
    <w:rsid w:val="00AD6FF8"/>
    <w:rsid w:val="00AF25FF"/>
    <w:rsid w:val="00AF71F4"/>
    <w:rsid w:val="00B07E46"/>
    <w:rsid w:val="00B27B09"/>
    <w:rsid w:val="00B31C65"/>
    <w:rsid w:val="00B341FC"/>
    <w:rsid w:val="00B4037E"/>
    <w:rsid w:val="00B76100"/>
    <w:rsid w:val="00B94141"/>
    <w:rsid w:val="00B945A0"/>
    <w:rsid w:val="00BA16AF"/>
    <w:rsid w:val="00BA7CE1"/>
    <w:rsid w:val="00BB4F00"/>
    <w:rsid w:val="00BB52CF"/>
    <w:rsid w:val="00BB6229"/>
    <w:rsid w:val="00BC2C06"/>
    <w:rsid w:val="00BD0F99"/>
    <w:rsid w:val="00BE2EDF"/>
    <w:rsid w:val="00BF48B5"/>
    <w:rsid w:val="00C025DC"/>
    <w:rsid w:val="00C160CD"/>
    <w:rsid w:val="00C2279F"/>
    <w:rsid w:val="00C318FA"/>
    <w:rsid w:val="00C34A19"/>
    <w:rsid w:val="00C430AE"/>
    <w:rsid w:val="00C45D53"/>
    <w:rsid w:val="00C6493A"/>
    <w:rsid w:val="00C719B0"/>
    <w:rsid w:val="00C831F3"/>
    <w:rsid w:val="00C8395D"/>
    <w:rsid w:val="00C91EA5"/>
    <w:rsid w:val="00CA0F36"/>
    <w:rsid w:val="00CC7D42"/>
    <w:rsid w:val="00CD1021"/>
    <w:rsid w:val="00CD37BE"/>
    <w:rsid w:val="00CD74A6"/>
    <w:rsid w:val="00CE1131"/>
    <w:rsid w:val="00CE1837"/>
    <w:rsid w:val="00CF13E6"/>
    <w:rsid w:val="00CF3551"/>
    <w:rsid w:val="00D01200"/>
    <w:rsid w:val="00D05CBF"/>
    <w:rsid w:val="00D164CF"/>
    <w:rsid w:val="00D178BE"/>
    <w:rsid w:val="00D27EC2"/>
    <w:rsid w:val="00D33D9E"/>
    <w:rsid w:val="00D40DDE"/>
    <w:rsid w:val="00D46E51"/>
    <w:rsid w:val="00D47766"/>
    <w:rsid w:val="00D74C84"/>
    <w:rsid w:val="00D75130"/>
    <w:rsid w:val="00D84B0F"/>
    <w:rsid w:val="00D85645"/>
    <w:rsid w:val="00DA2054"/>
    <w:rsid w:val="00DA2FFC"/>
    <w:rsid w:val="00DB01C0"/>
    <w:rsid w:val="00DE4CF8"/>
    <w:rsid w:val="00E05FDF"/>
    <w:rsid w:val="00E10918"/>
    <w:rsid w:val="00E119DF"/>
    <w:rsid w:val="00E16CEC"/>
    <w:rsid w:val="00E174CF"/>
    <w:rsid w:val="00E375A6"/>
    <w:rsid w:val="00E4417B"/>
    <w:rsid w:val="00E72E46"/>
    <w:rsid w:val="00E75125"/>
    <w:rsid w:val="00E777AD"/>
    <w:rsid w:val="00E81D02"/>
    <w:rsid w:val="00E861BE"/>
    <w:rsid w:val="00EB039F"/>
    <w:rsid w:val="00EB3DD6"/>
    <w:rsid w:val="00EB472D"/>
    <w:rsid w:val="00EB6777"/>
    <w:rsid w:val="00EE132B"/>
    <w:rsid w:val="00EE1926"/>
    <w:rsid w:val="00EE3ECF"/>
    <w:rsid w:val="00EF09AA"/>
    <w:rsid w:val="00EF637A"/>
    <w:rsid w:val="00F05DB2"/>
    <w:rsid w:val="00F109D7"/>
    <w:rsid w:val="00F148B3"/>
    <w:rsid w:val="00F27D06"/>
    <w:rsid w:val="00F30A70"/>
    <w:rsid w:val="00F340D6"/>
    <w:rsid w:val="00F42098"/>
    <w:rsid w:val="00F43D4C"/>
    <w:rsid w:val="00F541A5"/>
    <w:rsid w:val="00F6547F"/>
    <w:rsid w:val="00F67692"/>
    <w:rsid w:val="00F71D75"/>
    <w:rsid w:val="00F73BF2"/>
    <w:rsid w:val="00F85053"/>
    <w:rsid w:val="00F87083"/>
    <w:rsid w:val="00F8797E"/>
    <w:rsid w:val="00F96574"/>
    <w:rsid w:val="00FA0037"/>
    <w:rsid w:val="00FB571D"/>
    <w:rsid w:val="00FD67DB"/>
    <w:rsid w:val="00FF38A8"/>
    <w:rsid w:val="00FF40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footnote reference"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Title" w:uiPriority="10" w:qFormat="1"/>
    <w:lsdException w:name="Default Paragraph Font" w:semiHidden="1" w:uiPriority="1" w:unhideWhenUsed="1"/>
    <w:lsdException w:name="List Continue 5" w:semiHidden="1" w:unhideWhenUsed="1"/>
    <w:lsdException w:name="Message Header" w:semiHidden="1" w:unhideWhenUsed="1"/>
    <w:lsdException w:name="Subtitle" w:uiPriority="11" w:qFormat="1"/>
    <w:lsdException w:name="Salutation"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unhideWhenUsed="1"/>
    <w:lsdException w:name="No Spacing" w:qFormat="1"/>
    <w:lsdException w:name="Medium Grid 2" w:qFormat="1"/>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atentStyles>
  <w:style w:type="paragraph" w:default="1" w:styleId="a">
    <w:name w:val="Normal"/>
    <w:qFormat/>
    <w:rsid w:val="002C2766"/>
    <w:pPr>
      <w:spacing w:after="200" w:line="276" w:lineRule="auto"/>
    </w:pPr>
    <w:rPr>
      <w:rFonts w:cs="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2766"/>
    <w:pPr>
      <w:tabs>
        <w:tab w:val="center" w:pos="4677"/>
        <w:tab w:val="right" w:pos="9355"/>
      </w:tabs>
      <w:spacing w:after="0" w:line="240" w:lineRule="auto"/>
    </w:pPr>
  </w:style>
  <w:style w:type="character" w:customStyle="1" w:styleId="a4">
    <w:name w:val="Верхний колонтитул Знак"/>
    <w:link w:val="a3"/>
    <w:uiPriority w:val="99"/>
    <w:locked/>
    <w:rsid w:val="002C2766"/>
    <w:rPr>
      <w:rFonts w:eastAsia="Times New Roman" w:cs="Times New Roman"/>
      <w:lang w:bidi="ar-SA"/>
    </w:rPr>
  </w:style>
  <w:style w:type="paragraph" w:styleId="a5">
    <w:name w:val="footer"/>
    <w:basedOn w:val="a"/>
    <w:link w:val="a6"/>
    <w:uiPriority w:val="99"/>
    <w:unhideWhenUsed/>
    <w:rsid w:val="002C2766"/>
    <w:pPr>
      <w:tabs>
        <w:tab w:val="center" w:pos="4677"/>
        <w:tab w:val="right" w:pos="9355"/>
      </w:tabs>
      <w:spacing w:after="0" w:line="240" w:lineRule="auto"/>
    </w:pPr>
  </w:style>
  <w:style w:type="character" w:customStyle="1" w:styleId="a6">
    <w:name w:val="Нижний колонтитул Знак"/>
    <w:link w:val="a5"/>
    <w:uiPriority w:val="99"/>
    <w:locked/>
    <w:rsid w:val="002C2766"/>
    <w:rPr>
      <w:rFonts w:eastAsia="Times New Roman" w:cs="Times New Roman"/>
      <w:lang w:bidi="ar-SA"/>
    </w:rPr>
  </w:style>
  <w:style w:type="character" w:styleId="a7">
    <w:name w:val="page number"/>
    <w:uiPriority w:val="99"/>
    <w:rsid w:val="002C2766"/>
    <w:rPr>
      <w:rFonts w:cs="Times New Roman"/>
    </w:rPr>
  </w:style>
  <w:style w:type="paragraph" w:styleId="a8">
    <w:name w:val="Balloon Text"/>
    <w:basedOn w:val="a"/>
    <w:link w:val="a9"/>
    <w:uiPriority w:val="99"/>
    <w:semiHidden/>
    <w:unhideWhenUsed/>
    <w:rsid w:val="002C2766"/>
    <w:pPr>
      <w:spacing w:after="0" w:line="240" w:lineRule="auto"/>
    </w:pPr>
    <w:rPr>
      <w:rFonts w:ascii="Lucida Grande CY" w:hAnsi="Lucida Grande CY" w:cs="Lucida Grande CY"/>
      <w:sz w:val="18"/>
      <w:szCs w:val="18"/>
    </w:rPr>
  </w:style>
  <w:style w:type="character" w:customStyle="1" w:styleId="a9">
    <w:name w:val="Текст выноски Знак"/>
    <w:link w:val="a8"/>
    <w:uiPriority w:val="99"/>
    <w:semiHidden/>
    <w:locked/>
    <w:rsid w:val="002C2766"/>
    <w:rPr>
      <w:rFonts w:ascii="Lucida Grande CY" w:hAnsi="Lucida Grande CY" w:cs="Lucida Grande CY"/>
      <w:sz w:val="18"/>
      <w:szCs w:val="18"/>
      <w:lang w:bidi="ar-SA"/>
    </w:rPr>
  </w:style>
  <w:style w:type="character" w:customStyle="1" w:styleId="BalloonTextChar">
    <w:name w:val="Balloon Text Char"/>
    <w:uiPriority w:val="99"/>
    <w:semiHidden/>
    <w:rsid w:val="002C2766"/>
    <w:rPr>
      <w:rFonts w:ascii="Lucida Grande CY" w:hAnsi="Lucida Grande CY" w:cs="Lucida Grande CY"/>
      <w:sz w:val="18"/>
      <w:szCs w:val="18"/>
    </w:rPr>
  </w:style>
  <w:style w:type="character" w:customStyle="1" w:styleId="2">
    <w:name w:val="Текст выноски Знак2"/>
    <w:uiPriority w:val="99"/>
    <w:semiHidden/>
    <w:rsid w:val="002C2766"/>
    <w:rPr>
      <w:rFonts w:ascii="Tahoma" w:hAnsi="Tahoma" w:cs="Tahoma"/>
      <w:sz w:val="16"/>
      <w:szCs w:val="16"/>
      <w:lang w:val="x-none" w:eastAsia="en-US"/>
    </w:rPr>
  </w:style>
  <w:style w:type="character" w:customStyle="1" w:styleId="27">
    <w:name w:val="Текст выноски Знак27"/>
    <w:uiPriority w:val="99"/>
    <w:semiHidden/>
    <w:rsid w:val="002C2766"/>
    <w:rPr>
      <w:rFonts w:ascii="Tahoma" w:hAnsi="Tahoma" w:cs="Tahoma"/>
      <w:sz w:val="16"/>
      <w:szCs w:val="16"/>
      <w:lang w:val="x-none" w:eastAsia="en-US"/>
    </w:rPr>
  </w:style>
  <w:style w:type="character" w:customStyle="1" w:styleId="26">
    <w:name w:val="Текст выноски Знак26"/>
    <w:uiPriority w:val="99"/>
    <w:semiHidden/>
    <w:rsid w:val="002C2766"/>
    <w:rPr>
      <w:rFonts w:ascii="Tahoma" w:hAnsi="Tahoma" w:cs="Tahoma"/>
      <w:sz w:val="16"/>
      <w:szCs w:val="16"/>
      <w:lang w:val="x-none" w:eastAsia="en-US"/>
    </w:rPr>
  </w:style>
  <w:style w:type="character" w:customStyle="1" w:styleId="25">
    <w:name w:val="Текст выноски Знак25"/>
    <w:uiPriority w:val="99"/>
    <w:semiHidden/>
    <w:rsid w:val="002C2766"/>
    <w:rPr>
      <w:rFonts w:ascii="Tahoma" w:hAnsi="Tahoma" w:cs="Tahoma"/>
      <w:sz w:val="16"/>
      <w:szCs w:val="16"/>
      <w:lang w:val="x-none" w:eastAsia="en-US"/>
    </w:rPr>
  </w:style>
  <w:style w:type="character" w:customStyle="1" w:styleId="24">
    <w:name w:val="Текст выноски Знак24"/>
    <w:uiPriority w:val="99"/>
    <w:semiHidden/>
    <w:rsid w:val="002C2766"/>
    <w:rPr>
      <w:rFonts w:ascii="Tahoma" w:hAnsi="Tahoma" w:cs="Tahoma"/>
      <w:sz w:val="16"/>
      <w:szCs w:val="16"/>
      <w:lang w:val="x-none" w:eastAsia="en-US"/>
    </w:rPr>
  </w:style>
  <w:style w:type="character" w:customStyle="1" w:styleId="23">
    <w:name w:val="Текст выноски Знак23"/>
    <w:uiPriority w:val="99"/>
    <w:semiHidden/>
    <w:rsid w:val="002C2766"/>
    <w:rPr>
      <w:rFonts w:ascii="Tahoma" w:hAnsi="Tahoma" w:cs="Tahoma"/>
      <w:sz w:val="16"/>
      <w:szCs w:val="16"/>
      <w:lang w:val="x-none" w:eastAsia="en-US"/>
    </w:rPr>
  </w:style>
  <w:style w:type="character" w:customStyle="1" w:styleId="22">
    <w:name w:val="Текст выноски Знак22"/>
    <w:uiPriority w:val="99"/>
    <w:semiHidden/>
    <w:rsid w:val="002C2766"/>
    <w:rPr>
      <w:rFonts w:ascii="Tahoma" w:hAnsi="Tahoma" w:cs="Tahoma"/>
      <w:sz w:val="16"/>
      <w:szCs w:val="16"/>
      <w:lang w:val="x-none" w:eastAsia="en-US"/>
    </w:rPr>
  </w:style>
  <w:style w:type="character" w:customStyle="1" w:styleId="21">
    <w:name w:val="Текст выноски Знак21"/>
    <w:uiPriority w:val="99"/>
    <w:semiHidden/>
    <w:rsid w:val="002C2766"/>
    <w:rPr>
      <w:rFonts w:ascii="Tahoma" w:hAnsi="Tahoma" w:cs="Tahoma"/>
      <w:sz w:val="16"/>
      <w:szCs w:val="16"/>
      <w:lang w:val="x-none" w:eastAsia="en-US"/>
    </w:rPr>
  </w:style>
  <w:style w:type="character" w:customStyle="1" w:styleId="20">
    <w:name w:val="Текст выноски Знак20"/>
    <w:uiPriority w:val="99"/>
    <w:semiHidden/>
    <w:rsid w:val="002C2766"/>
    <w:rPr>
      <w:rFonts w:ascii="Tahoma" w:hAnsi="Tahoma" w:cs="Tahoma"/>
      <w:sz w:val="16"/>
      <w:szCs w:val="16"/>
      <w:lang w:val="x-none" w:eastAsia="en-US"/>
    </w:rPr>
  </w:style>
  <w:style w:type="character" w:customStyle="1" w:styleId="19">
    <w:name w:val="Текст выноски Знак19"/>
    <w:uiPriority w:val="99"/>
    <w:semiHidden/>
    <w:rsid w:val="002C2766"/>
    <w:rPr>
      <w:rFonts w:ascii="Tahoma" w:hAnsi="Tahoma" w:cs="Tahoma"/>
      <w:sz w:val="16"/>
      <w:szCs w:val="16"/>
      <w:lang w:val="x-none" w:eastAsia="en-US"/>
    </w:rPr>
  </w:style>
  <w:style w:type="character" w:customStyle="1" w:styleId="18">
    <w:name w:val="Текст выноски Знак18"/>
    <w:uiPriority w:val="99"/>
    <w:semiHidden/>
    <w:rsid w:val="002C2766"/>
    <w:rPr>
      <w:rFonts w:ascii="Tahoma" w:hAnsi="Tahoma" w:cs="Tahoma"/>
      <w:sz w:val="16"/>
      <w:szCs w:val="16"/>
      <w:lang w:val="x-none" w:eastAsia="en-US"/>
    </w:rPr>
  </w:style>
  <w:style w:type="character" w:customStyle="1" w:styleId="17">
    <w:name w:val="Текст выноски Знак17"/>
    <w:uiPriority w:val="99"/>
    <w:semiHidden/>
    <w:rsid w:val="002C2766"/>
    <w:rPr>
      <w:rFonts w:ascii="Tahoma" w:hAnsi="Tahoma" w:cs="Tahoma"/>
      <w:sz w:val="16"/>
      <w:szCs w:val="16"/>
      <w:lang w:val="x-none" w:eastAsia="en-US"/>
    </w:rPr>
  </w:style>
  <w:style w:type="character" w:customStyle="1" w:styleId="16">
    <w:name w:val="Текст выноски Знак16"/>
    <w:uiPriority w:val="99"/>
    <w:semiHidden/>
    <w:rsid w:val="002C2766"/>
    <w:rPr>
      <w:rFonts w:ascii="Tahoma" w:hAnsi="Tahoma" w:cs="Tahoma"/>
      <w:sz w:val="16"/>
      <w:szCs w:val="16"/>
      <w:lang w:val="x-none" w:eastAsia="en-US"/>
    </w:rPr>
  </w:style>
  <w:style w:type="character" w:customStyle="1" w:styleId="15">
    <w:name w:val="Текст выноски Знак15"/>
    <w:uiPriority w:val="99"/>
    <w:semiHidden/>
    <w:rsid w:val="002C2766"/>
    <w:rPr>
      <w:rFonts w:ascii="Tahoma" w:hAnsi="Tahoma" w:cs="Tahoma"/>
      <w:sz w:val="16"/>
      <w:szCs w:val="16"/>
      <w:lang w:val="x-none" w:eastAsia="en-US"/>
    </w:rPr>
  </w:style>
  <w:style w:type="character" w:customStyle="1" w:styleId="14">
    <w:name w:val="Текст выноски Знак14"/>
    <w:uiPriority w:val="99"/>
    <w:semiHidden/>
    <w:rsid w:val="002C2766"/>
    <w:rPr>
      <w:rFonts w:ascii="Tahoma" w:hAnsi="Tahoma" w:cs="Tahoma"/>
      <w:sz w:val="16"/>
      <w:szCs w:val="16"/>
      <w:lang w:val="x-none" w:eastAsia="en-US"/>
    </w:rPr>
  </w:style>
  <w:style w:type="character" w:customStyle="1" w:styleId="10">
    <w:name w:val="Текст выноски Знак10"/>
    <w:uiPriority w:val="99"/>
    <w:semiHidden/>
    <w:rsid w:val="002C2766"/>
    <w:rPr>
      <w:rFonts w:ascii="Tahoma" w:hAnsi="Tahoma" w:cs="Tahoma"/>
      <w:sz w:val="16"/>
      <w:szCs w:val="16"/>
      <w:lang w:val="x-none" w:eastAsia="en-US"/>
    </w:rPr>
  </w:style>
  <w:style w:type="character" w:customStyle="1" w:styleId="9">
    <w:name w:val="Текст выноски Знак9"/>
    <w:uiPriority w:val="99"/>
    <w:semiHidden/>
    <w:rsid w:val="002C2766"/>
    <w:rPr>
      <w:rFonts w:ascii="Tahoma" w:hAnsi="Tahoma" w:cs="Tahoma"/>
      <w:sz w:val="16"/>
      <w:szCs w:val="16"/>
      <w:lang w:val="x-none" w:eastAsia="en-US"/>
    </w:rPr>
  </w:style>
  <w:style w:type="character" w:customStyle="1" w:styleId="8">
    <w:name w:val="Текст выноски Знак8"/>
    <w:uiPriority w:val="99"/>
    <w:semiHidden/>
    <w:rsid w:val="002C2766"/>
    <w:rPr>
      <w:rFonts w:ascii="Tahoma" w:hAnsi="Tahoma" w:cs="Tahoma"/>
      <w:sz w:val="16"/>
      <w:szCs w:val="16"/>
      <w:lang w:val="x-none" w:eastAsia="en-US"/>
    </w:rPr>
  </w:style>
  <w:style w:type="character" w:customStyle="1" w:styleId="7">
    <w:name w:val="Текст выноски Знак7"/>
    <w:uiPriority w:val="99"/>
    <w:semiHidden/>
    <w:rsid w:val="002C2766"/>
    <w:rPr>
      <w:rFonts w:ascii="Tahoma" w:hAnsi="Tahoma" w:cs="Tahoma"/>
      <w:sz w:val="16"/>
      <w:szCs w:val="16"/>
      <w:lang w:val="x-none" w:eastAsia="en-US"/>
    </w:rPr>
  </w:style>
  <w:style w:type="character" w:customStyle="1" w:styleId="6">
    <w:name w:val="Текст выноски Знак6"/>
    <w:uiPriority w:val="99"/>
    <w:semiHidden/>
    <w:rsid w:val="002C2766"/>
    <w:rPr>
      <w:rFonts w:ascii="Tahoma" w:hAnsi="Tahoma" w:cs="Tahoma"/>
      <w:sz w:val="16"/>
      <w:szCs w:val="16"/>
      <w:lang w:val="x-none" w:eastAsia="en-US"/>
    </w:rPr>
  </w:style>
  <w:style w:type="character" w:customStyle="1" w:styleId="5">
    <w:name w:val="Текст выноски Знак5"/>
    <w:uiPriority w:val="99"/>
    <w:semiHidden/>
    <w:rsid w:val="002C2766"/>
    <w:rPr>
      <w:rFonts w:ascii="Tahoma" w:hAnsi="Tahoma" w:cs="Tahoma"/>
      <w:sz w:val="16"/>
      <w:szCs w:val="16"/>
      <w:lang w:val="x-none" w:eastAsia="en-US"/>
    </w:rPr>
  </w:style>
  <w:style w:type="character" w:customStyle="1" w:styleId="4">
    <w:name w:val="Текст выноски Знак4"/>
    <w:uiPriority w:val="99"/>
    <w:semiHidden/>
    <w:rsid w:val="002C2766"/>
    <w:rPr>
      <w:rFonts w:ascii="Tahoma" w:hAnsi="Tahoma" w:cs="Tahoma"/>
      <w:sz w:val="16"/>
      <w:szCs w:val="16"/>
      <w:lang w:val="x-none" w:eastAsia="en-US"/>
    </w:rPr>
  </w:style>
  <w:style w:type="character" w:customStyle="1" w:styleId="3">
    <w:name w:val="Текст выноски Знак3"/>
    <w:uiPriority w:val="99"/>
    <w:semiHidden/>
    <w:rsid w:val="002C2766"/>
    <w:rPr>
      <w:rFonts w:ascii="Tahoma" w:hAnsi="Tahoma" w:cs="Tahoma"/>
      <w:sz w:val="16"/>
      <w:szCs w:val="16"/>
      <w:lang w:val="x-none" w:eastAsia="en-US"/>
    </w:rPr>
  </w:style>
  <w:style w:type="character" w:customStyle="1" w:styleId="BalloonTextChar1">
    <w:name w:val="Balloon Text Char1"/>
    <w:uiPriority w:val="99"/>
    <w:semiHidden/>
    <w:rsid w:val="002C2766"/>
    <w:rPr>
      <w:rFonts w:ascii="Lucida Grande CY" w:hAnsi="Lucida Grande CY" w:cs="Lucida Grande CY"/>
      <w:sz w:val="18"/>
      <w:szCs w:val="18"/>
    </w:rPr>
  </w:style>
  <w:style w:type="character" w:customStyle="1" w:styleId="1">
    <w:name w:val="Текст выноски Знак1"/>
    <w:uiPriority w:val="99"/>
    <w:semiHidden/>
    <w:rsid w:val="002C2766"/>
    <w:rPr>
      <w:rFonts w:ascii="Tahoma" w:hAnsi="Tahoma" w:cs="Tahoma"/>
      <w:sz w:val="16"/>
      <w:szCs w:val="16"/>
      <w:lang w:val="x-none" w:eastAsia="en-US"/>
    </w:rPr>
  </w:style>
  <w:style w:type="character" w:customStyle="1" w:styleId="13">
    <w:name w:val="Текст выноски Знак13"/>
    <w:uiPriority w:val="99"/>
    <w:semiHidden/>
    <w:rsid w:val="002C2766"/>
    <w:rPr>
      <w:rFonts w:ascii="Tahoma" w:hAnsi="Tahoma" w:cs="Tahoma"/>
      <w:sz w:val="16"/>
      <w:szCs w:val="16"/>
      <w:lang w:val="x-none" w:eastAsia="en-US"/>
    </w:rPr>
  </w:style>
  <w:style w:type="character" w:customStyle="1" w:styleId="12">
    <w:name w:val="Текст выноски Знак12"/>
    <w:uiPriority w:val="99"/>
    <w:semiHidden/>
    <w:rsid w:val="002C2766"/>
    <w:rPr>
      <w:rFonts w:ascii="Tahoma" w:hAnsi="Tahoma" w:cs="Tahoma"/>
      <w:sz w:val="16"/>
      <w:szCs w:val="16"/>
      <w:lang w:val="x-none" w:eastAsia="en-US"/>
    </w:rPr>
  </w:style>
  <w:style w:type="character" w:customStyle="1" w:styleId="11">
    <w:name w:val="Текст выноски Знак11"/>
    <w:uiPriority w:val="99"/>
    <w:semiHidden/>
    <w:rsid w:val="002C2766"/>
    <w:rPr>
      <w:rFonts w:ascii="Tahoma" w:hAnsi="Tahoma" w:cs="Tahoma"/>
      <w:sz w:val="16"/>
      <w:szCs w:val="16"/>
      <w:lang w:val="x-none" w:eastAsia="en-US"/>
    </w:rPr>
  </w:style>
  <w:style w:type="paragraph" w:customStyle="1" w:styleId="-31">
    <w:name w:val="Светлая сетка - Акцент 31"/>
    <w:basedOn w:val="a"/>
    <w:uiPriority w:val="34"/>
    <w:qFormat/>
    <w:rsid w:val="002C2766"/>
    <w:rPr>
      <w:rFonts w:ascii="Times New Roman" w:hAnsi="Times New Roman"/>
      <w:szCs w:val="20"/>
      <w:lang w:eastAsia="ru-RU"/>
    </w:rPr>
  </w:style>
  <w:style w:type="character" w:customStyle="1" w:styleId="apple-converted-space">
    <w:name w:val="apple-converted-space"/>
    <w:rsid w:val="002C2766"/>
    <w:rPr>
      <w:rFonts w:cs="Times New Roman"/>
    </w:rPr>
  </w:style>
  <w:style w:type="table" w:styleId="aa">
    <w:name w:val="Table Grid"/>
    <w:basedOn w:val="a1"/>
    <w:uiPriority w:val="59"/>
    <w:rsid w:val="002C2766"/>
    <w:rPr>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C2766"/>
    <w:pPr>
      <w:spacing w:before="100" w:beforeAutospacing="1" w:after="100" w:afterAutospacing="1" w:line="240" w:lineRule="auto"/>
    </w:pPr>
    <w:rPr>
      <w:rFonts w:ascii="Times New Roman" w:hAnsi="Times New Roman"/>
      <w:sz w:val="24"/>
      <w:szCs w:val="24"/>
      <w:lang w:val="ru-RU" w:eastAsia="ru-RU"/>
    </w:rPr>
  </w:style>
  <w:style w:type="character" w:styleId="ac">
    <w:name w:val="annotation reference"/>
    <w:uiPriority w:val="99"/>
    <w:semiHidden/>
    <w:unhideWhenUsed/>
    <w:rsid w:val="002C2766"/>
    <w:rPr>
      <w:rFonts w:cs="Times New Roman"/>
      <w:sz w:val="16"/>
      <w:szCs w:val="16"/>
    </w:rPr>
  </w:style>
  <w:style w:type="paragraph" w:styleId="ad">
    <w:name w:val="annotation text"/>
    <w:basedOn w:val="a"/>
    <w:link w:val="ae"/>
    <w:uiPriority w:val="99"/>
    <w:semiHidden/>
    <w:unhideWhenUsed/>
    <w:rsid w:val="002C2766"/>
    <w:pPr>
      <w:spacing w:line="240" w:lineRule="auto"/>
    </w:pPr>
    <w:rPr>
      <w:sz w:val="20"/>
      <w:szCs w:val="20"/>
    </w:rPr>
  </w:style>
  <w:style w:type="character" w:customStyle="1" w:styleId="ae">
    <w:name w:val="Текст примечания Знак"/>
    <w:link w:val="ad"/>
    <w:uiPriority w:val="99"/>
    <w:semiHidden/>
    <w:locked/>
    <w:rsid w:val="002C2766"/>
    <w:rPr>
      <w:rFonts w:eastAsia="Times New Roman" w:cs="Times New Roman"/>
      <w:sz w:val="20"/>
      <w:szCs w:val="20"/>
      <w:lang w:bidi="ar-SA"/>
    </w:rPr>
  </w:style>
  <w:style w:type="character" w:customStyle="1" w:styleId="af">
    <w:name w:val="Тема примечания Знак"/>
    <w:link w:val="af0"/>
    <w:uiPriority w:val="99"/>
    <w:semiHidden/>
    <w:locked/>
    <w:rsid w:val="002C2766"/>
    <w:rPr>
      <w:rFonts w:eastAsia="Times New Roman" w:cs="Times New Roman"/>
      <w:b/>
      <w:bCs/>
      <w:sz w:val="20"/>
      <w:szCs w:val="20"/>
      <w:lang w:val="x-none" w:eastAsia="x-none" w:bidi="ar-SA"/>
    </w:rPr>
  </w:style>
  <w:style w:type="paragraph" w:styleId="af0">
    <w:name w:val="annotation subject"/>
    <w:basedOn w:val="ad"/>
    <w:next w:val="ad"/>
    <w:link w:val="af"/>
    <w:uiPriority w:val="99"/>
    <w:semiHidden/>
    <w:unhideWhenUsed/>
    <w:rsid w:val="002C2766"/>
    <w:rPr>
      <w:b/>
      <w:bCs/>
    </w:rPr>
  </w:style>
  <w:style w:type="character" w:customStyle="1" w:styleId="1a">
    <w:name w:val="Тема примечания Знак1"/>
    <w:uiPriority w:val="99"/>
    <w:semiHidden/>
    <w:rPr>
      <w:rFonts w:eastAsia="Times New Roman" w:cs="Times New Roman"/>
      <w:b/>
      <w:bCs/>
      <w:sz w:val="20"/>
      <w:szCs w:val="20"/>
      <w:lang w:bidi="ar-SA"/>
    </w:rPr>
  </w:style>
  <w:style w:type="character" w:customStyle="1" w:styleId="170">
    <w:name w:val="Тема примечания Знак17"/>
    <w:uiPriority w:val="99"/>
    <w:semiHidden/>
    <w:rPr>
      <w:rFonts w:eastAsia="Times New Roman" w:cs="Times New Roman"/>
      <w:b/>
      <w:bCs/>
      <w:sz w:val="20"/>
      <w:szCs w:val="20"/>
      <w:lang w:bidi="ar-SA"/>
    </w:rPr>
  </w:style>
  <w:style w:type="character" w:customStyle="1" w:styleId="160">
    <w:name w:val="Тема примечания Знак16"/>
    <w:uiPriority w:val="99"/>
    <w:semiHidden/>
    <w:rPr>
      <w:rFonts w:eastAsia="Times New Roman" w:cs="Times New Roman"/>
      <w:b/>
      <w:bCs/>
      <w:sz w:val="20"/>
      <w:szCs w:val="20"/>
      <w:lang w:bidi="ar-SA"/>
    </w:rPr>
  </w:style>
  <w:style w:type="character" w:customStyle="1" w:styleId="150">
    <w:name w:val="Тема примечания Знак15"/>
    <w:uiPriority w:val="99"/>
    <w:semiHidden/>
    <w:rPr>
      <w:rFonts w:eastAsia="Times New Roman" w:cs="Times New Roman"/>
      <w:b/>
      <w:bCs/>
      <w:sz w:val="20"/>
      <w:szCs w:val="20"/>
      <w:lang w:bidi="ar-SA"/>
    </w:rPr>
  </w:style>
  <w:style w:type="character" w:customStyle="1" w:styleId="140">
    <w:name w:val="Тема примечания Знак14"/>
    <w:uiPriority w:val="99"/>
    <w:semiHidden/>
    <w:rPr>
      <w:rFonts w:eastAsia="Times New Roman" w:cs="Times New Roman"/>
      <w:b/>
      <w:bCs/>
      <w:sz w:val="20"/>
      <w:szCs w:val="20"/>
      <w:lang w:bidi="ar-SA"/>
    </w:rPr>
  </w:style>
  <w:style w:type="character" w:customStyle="1" w:styleId="130">
    <w:name w:val="Тема примечания Знак13"/>
    <w:uiPriority w:val="99"/>
    <w:semiHidden/>
    <w:rsid w:val="002C2766"/>
    <w:rPr>
      <w:rFonts w:eastAsia="Times New Roman" w:cs="Times New Roman"/>
      <w:b/>
      <w:bCs/>
      <w:sz w:val="20"/>
      <w:szCs w:val="20"/>
      <w:lang w:bidi="ar-SA"/>
    </w:rPr>
  </w:style>
  <w:style w:type="character" w:customStyle="1" w:styleId="120">
    <w:name w:val="Тема примечания Знак12"/>
    <w:uiPriority w:val="99"/>
    <w:semiHidden/>
    <w:rsid w:val="002C2766"/>
    <w:rPr>
      <w:rFonts w:eastAsia="Times New Roman" w:cs="Times New Roman"/>
      <w:b/>
      <w:bCs/>
      <w:sz w:val="20"/>
      <w:szCs w:val="20"/>
      <w:lang w:val="x-none" w:eastAsia="en-US" w:bidi="ar-SA"/>
    </w:rPr>
  </w:style>
  <w:style w:type="character" w:customStyle="1" w:styleId="110">
    <w:name w:val="Тема примечания Знак11"/>
    <w:uiPriority w:val="99"/>
    <w:semiHidden/>
    <w:rsid w:val="002C2766"/>
    <w:rPr>
      <w:rFonts w:eastAsia="Times New Roman" w:cs="Times New Roman"/>
      <w:b/>
      <w:bCs/>
      <w:sz w:val="20"/>
      <w:szCs w:val="20"/>
      <w:lang w:val="x-none" w:eastAsia="en-US" w:bidi="ar-SA"/>
    </w:rPr>
  </w:style>
  <w:style w:type="paragraph" w:customStyle="1" w:styleId="af1">
    <w:name w:val="Содержимое таблицы"/>
    <w:basedOn w:val="a"/>
    <w:rsid w:val="008668BC"/>
    <w:pPr>
      <w:suppressLineNumbers/>
      <w:suppressAutoHyphens/>
      <w:spacing w:after="0" w:line="240" w:lineRule="auto"/>
    </w:pPr>
    <w:rPr>
      <w:rFonts w:ascii="Times New Roman" w:hAnsi="Times New Roman"/>
      <w:sz w:val="24"/>
      <w:szCs w:val="24"/>
      <w:lang w:eastAsia="zh-CN"/>
    </w:rPr>
  </w:style>
  <w:style w:type="table" w:customStyle="1" w:styleId="210">
    <w:name w:val="Таблица простая 21"/>
    <w:basedOn w:val="a1"/>
    <w:uiPriority w:val="42"/>
    <w:rsid w:val="002302E1"/>
    <w:rPr>
      <w:rFonts w:cs="Times New Roman"/>
      <w:lang w:val="en-US"/>
    </w:rPr>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paragraph" w:customStyle="1" w:styleId="TimesNewRoman">
    <w:name w:val="Times New Roman"/>
    <w:basedOn w:val="af2"/>
    <w:qFormat/>
    <w:rsid w:val="007D3D13"/>
    <w:rPr>
      <w:rFonts w:ascii="Times New Roman" w:eastAsiaTheme="minorHAnsi" w:hAnsi="Times New Roman"/>
      <w:sz w:val="28"/>
      <w:lang w:val="en-US"/>
    </w:rPr>
  </w:style>
  <w:style w:type="paragraph" w:styleId="af2">
    <w:name w:val="No Spacing"/>
    <w:uiPriority w:val="99"/>
    <w:qFormat/>
    <w:rsid w:val="007D3D13"/>
    <w:rPr>
      <w:rFonts w:cs="Times New Roman"/>
      <w:sz w:val="22"/>
      <w:szCs w:val="22"/>
      <w:lang w:val="uk-UA" w:eastAsia="en-US"/>
    </w:rPr>
  </w:style>
  <w:style w:type="character" w:customStyle="1" w:styleId="rvts44">
    <w:name w:val="rvts44"/>
    <w:basedOn w:val="a0"/>
    <w:rsid w:val="004B02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footnote reference"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Title" w:uiPriority="10" w:qFormat="1"/>
    <w:lsdException w:name="Default Paragraph Font" w:semiHidden="1" w:uiPriority="1" w:unhideWhenUsed="1"/>
    <w:lsdException w:name="List Continue 5" w:semiHidden="1" w:unhideWhenUsed="1"/>
    <w:lsdException w:name="Message Header" w:semiHidden="1" w:unhideWhenUsed="1"/>
    <w:lsdException w:name="Subtitle" w:uiPriority="11" w:qFormat="1"/>
    <w:lsdException w:name="Salutation"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unhideWhenUsed="1"/>
    <w:lsdException w:name="No Spacing" w:qFormat="1"/>
    <w:lsdException w:name="Medium Grid 2" w:qFormat="1"/>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atentStyles>
  <w:style w:type="paragraph" w:default="1" w:styleId="a">
    <w:name w:val="Normal"/>
    <w:qFormat/>
    <w:rsid w:val="002C2766"/>
    <w:pPr>
      <w:spacing w:after="200" w:line="276" w:lineRule="auto"/>
    </w:pPr>
    <w:rPr>
      <w:rFonts w:cs="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2766"/>
    <w:pPr>
      <w:tabs>
        <w:tab w:val="center" w:pos="4677"/>
        <w:tab w:val="right" w:pos="9355"/>
      </w:tabs>
      <w:spacing w:after="0" w:line="240" w:lineRule="auto"/>
    </w:pPr>
  </w:style>
  <w:style w:type="character" w:customStyle="1" w:styleId="a4">
    <w:name w:val="Верхний колонтитул Знак"/>
    <w:link w:val="a3"/>
    <w:uiPriority w:val="99"/>
    <w:locked/>
    <w:rsid w:val="002C2766"/>
    <w:rPr>
      <w:rFonts w:eastAsia="Times New Roman" w:cs="Times New Roman"/>
      <w:lang w:bidi="ar-SA"/>
    </w:rPr>
  </w:style>
  <w:style w:type="paragraph" w:styleId="a5">
    <w:name w:val="footer"/>
    <w:basedOn w:val="a"/>
    <w:link w:val="a6"/>
    <w:uiPriority w:val="99"/>
    <w:unhideWhenUsed/>
    <w:rsid w:val="002C2766"/>
    <w:pPr>
      <w:tabs>
        <w:tab w:val="center" w:pos="4677"/>
        <w:tab w:val="right" w:pos="9355"/>
      </w:tabs>
      <w:spacing w:after="0" w:line="240" w:lineRule="auto"/>
    </w:pPr>
  </w:style>
  <w:style w:type="character" w:customStyle="1" w:styleId="a6">
    <w:name w:val="Нижний колонтитул Знак"/>
    <w:link w:val="a5"/>
    <w:uiPriority w:val="99"/>
    <w:locked/>
    <w:rsid w:val="002C2766"/>
    <w:rPr>
      <w:rFonts w:eastAsia="Times New Roman" w:cs="Times New Roman"/>
      <w:lang w:bidi="ar-SA"/>
    </w:rPr>
  </w:style>
  <w:style w:type="character" w:styleId="a7">
    <w:name w:val="page number"/>
    <w:uiPriority w:val="99"/>
    <w:rsid w:val="002C2766"/>
    <w:rPr>
      <w:rFonts w:cs="Times New Roman"/>
    </w:rPr>
  </w:style>
  <w:style w:type="paragraph" w:styleId="a8">
    <w:name w:val="Balloon Text"/>
    <w:basedOn w:val="a"/>
    <w:link w:val="a9"/>
    <w:uiPriority w:val="99"/>
    <w:semiHidden/>
    <w:unhideWhenUsed/>
    <w:rsid w:val="002C2766"/>
    <w:pPr>
      <w:spacing w:after="0" w:line="240" w:lineRule="auto"/>
    </w:pPr>
    <w:rPr>
      <w:rFonts w:ascii="Lucida Grande CY" w:hAnsi="Lucida Grande CY" w:cs="Lucida Grande CY"/>
      <w:sz w:val="18"/>
      <w:szCs w:val="18"/>
    </w:rPr>
  </w:style>
  <w:style w:type="character" w:customStyle="1" w:styleId="a9">
    <w:name w:val="Текст выноски Знак"/>
    <w:link w:val="a8"/>
    <w:uiPriority w:val="99"/>
    <w:semiHidden/>
    <w:locked/>
    <w:rsid w:val="002C2766"/>
    <w:rPr>
      <w:rFonts w:ascii="Lucida Grande CY" w:hAnsi="Lucida Grande CY" w:cs="Lucida Grande CY"/>
      <w:sz w:val="18"/>
      <w:szCs w:val="18"/>
      <w:lang w:bidi="ar-SA"/>
    </w:rPr>
  </w:style>
  <w:style w:type="character" w:customStyle="1" w:styleId="BalloonTextChar">
    <w:name w:val="Balloon Text Char"/>
    <w:uiPriority w:val="99"/>
    <w:semiHidden/>
    <w:rsid w:val="002C2766"/>
    <w:rPr>
      <w:rFonts w:ascii="Lucida Grande CY" w:hAnsi="Lucida Grande CY" w:cs="Lucida Grande CY"/>
      <w:sz w:val="18"/>
      <w:szCs w:val="18"/>
    </w:rPr>
  </w:style>
  <w:style w:type="character" w:customStyle="1" w:styleId="2">
    <w:name w:val="Текст выноски Знак2"/>
    <w:uiPriority w:val="99"/>
    <w:semiHidden/>
    <w:rsid w:val="002C2766"/>
    <w:rPr>
      <w:rFonts w:ascii="Tahoma" w:hAnsi="Tahoma" w:cs="Tahoma"/>
      <w:sz w:val="16"/>
      <w:szCs w:val="16"/>
      <w:lang w:val="x-none" w:eastAsia="en-US"/>
    </w:rPr>
  </w:style>
  <w:style w:type="character" w:customStyle="1" w:styleId="27">
    <w:name w:val="Текст выноски Знак27"/>
    <w:uiPriority w:val="99"/>
    <w:semiHidden/>
    <w:rsid w:val="002C2766"/>
    <w:rPr>
      <w:rFonts w:ascii="Tahoma" w:hAnsi="Tahoma" w:cs="Tahoma"/>
      <w:sz w:val="16"/>
      <w:szCs w:val="16"/>
      <w:lang w:val="x-none" w:eastAsia="en-US"/>
    </w:rPr>
  </w:style>
  <w:style w:type="character" w:customStyle="1" w:styleId="26">
    <w:name w:val="Текст выноски Знак26"/>
    <w:uiPriority w:val="99"/>
    <w:semiHidden/>
    <w:rsid w:val="002C2766"/>
    <w:rPr>
      <w:rFonts w:ascii="Tahoma" w:hAnsi="Tahoma" w:cs="Tahoma"/>
      <w:sz w:val="16"/>
      <w:szCs w:val="16"/>
      <w:lang w:val="x-none" w:eastAsia="en-US"/>
    </w:rPr>
  </w:style>
  <w:style w:type="character" w:customStyle="1" w:styleId="25">
    <w:name w:val="Текст выноски Знак25"/>
    <w:uiPriority w:val="99"/>
    <w:semiHidden/>
    <w:rsid w:val="002C2766"/>
    <w:rPr>
      <w:rFonts w:ascii="Tahoma" w:hAnsi="Tahoma" w:cs="Tahoma"/>
      <w:sz w:val="16"/>
      <w:szCs w:val="16"/>
      <w:lang w:val="x-none" w:eastAsia="en-US"/>
    </w:rPr>
  </w:style>
  <w:style w:type="character" w:customStyle="1" w:styleId="24">
    <w:name w:val="Текст выноски Знак24"/>
    <w:uiPriority w:val="99"/>
    <w:semiHidden/>
    <w:rsid w:val="002C2766"/>
    <w:rPr>
      <w:rFonts w:ascii="Tahoma" w:hAnsi="Tahoma" w:cs="Tahoma"/>
      <w:sz w:val="16"/>
      <w:szCs w:val="16"/>
      <w:lang w:val="x-none" w:eastAsia="en-US"/>
    </w:rPr>
  </w:style>
  <w:style w:type="character" w:customStyle="1" w:styleId="23">
    <w:name w:val="Текст выноски Знак23"/>
    <w:uiPriority w:val="99"/>
    <w:semiHidden/>
    <w:rsid w:val="002C2766"/>
    <w:rPr>
      <w:rFonts w:ascii="Tahoma" w:hAnsi="Tahoma" w:cs="Tahoma"/>
      <w:sz w:val="16"/>
      <w:szCs w:val="16"/>
      <w:lang w:val="x-none" w:eastAsia="en-US"/>
    </w:rPr>
  </w:style>
  <w:style w:type="character" w:customStyle="1" w:styleId="22">
    <w:name w:val="Текст выноски Знак22"/>
    <w:uiPriority w:val="99"/>
    <w:semiHidden/>
    <w:rsid w:val="002C2766"/>
    <w:rPr>
      <w:rFonts w:ascii="Tahoma" w:hAnsi="Tahoma" w:cs="Tahoma"/>
      <w:sz w:val="16"/>
      <w:szCs w:val="16"/>
      <w:lang w:val="x-none" w:eastAsia="en-US"/>
    </w:rPr>
  </w:style>
  <w:style w:type="character" w:customStyle="1" w:styleId="21">
    <w:name w:val="Текст выноски Знак21"/>
    <w:uiPriority w:val="99"/>
    <w:semiHidden/>
    <w:rsid w:val="002C2766"/>
    <w:rPr>
      <w:rFonts w:ascii="Tahoma" w:hAnsi="Tahoma" w:cs="Tahoma"/>
      <w:sz w:val="16"/>
      <w:szCs w:val="16"/>
      <w:lang w:val="x-none" w:eastAsia="en-US"/>
    </w:rPr>
  </w:style>
  <w:style w:type="character" w:customStyle="1" w:styleId="20">
    <w:name w:val="Текст выноски Знак20"/>
    <w:uiPriority w:val="99"/>
    <w:semiHidden/>
    <w:rsid w:val="002C2766"/>
    <w:rPr>
      <w:rFonts w:ascii="Tahoma" w:hAnsi="Tahoma" w:cs="Tahoma"/>
      <w:sz w:val="16"/>
      <w:szCs w:val="16"/>
      <w:lang w:val="x-none" w:eastAsia="en-US"/>
    </w:rPr>
  </w:style>
  <w:style w:type="character" w:customStyle="1" w:styleId="19">
    <w:name w:val="Текст выноски Знак19"/>
    <w:uiPriority w:val="99"/>
    <w:semiHidden/>
    <w:rsid w:val="002C2766"/>
    <w:rPr>
      <w:rFonts w:ascii="Tahoma" w:hAnsi="Tahoma" w:cs="Tahoma"/>
      <w:sz w:val="16"/>
      <w:szCs w:val="16"/>
      <w:lang w:val="x-none" w:eastAsia="en-US"/>
    </w:rPr>
  </w:style>
  <w:style w:type="character" w:customStyle="1" w:styleId="18">
    <w:name w:val="Текст выноски Знак18"/>
    <w:uiPriority w:val="99"/>
    <w:semiHidden/>
    <w:rsid w:val="002C2766"/>
    <w:rPr>
      <w:rFonts w:ascii="Tahoma" w:hAnsi="Tahoma" w:cs="Tahoma"/>
      <w:sz w:val="16"/>
      <w:szCs w:val="16"/>
      <w:lang w:val="x-none" w:eastAsia="en-US"/>
    </w:rPr>
  </w:style>
  <w:style w:type="character" w:customStyle="1" w:styleId="17">
    <w:name w:val="Текст выноски Знак17"/>
    <w:uiPriority w:val="99"/>
    <w:semiHidden/>
    <w:rsid w:val="002C2766"/>
    <w:rPr>
      <w:rFonts w:ascii="Tahoma" w:hAnsi="Tahoma" w:cs="Tahoma"/>
      <w:sz w:val="16"/>
      <w:szCs w:val="16"/>
      <w:lang w:val="x-none" w:eastAsia="en-US"/>
    </w:rPr>
  </w:style>
  <w:style w:type="character" w:customStyle="1" w:styleId="16">
    <w:name w:val="Текст выноски Знак16"/>
    <w:uiPriority w:val="99"/>
    <w:semiHidden/>
    <w:rsid w:val="002C2766"/>
    <w:rPr>
      <w:rFonts w:ascii="Tahoma" w:hAnsi="Tahoma" w:cs="Tahoma"/>
      <w:sz w:val="16"/>
      <w:szCs w:val="16"/>
      <w:lang w:val="x-none" w:eastAsia="en-US"/>
    </w:rPr>
  </w:style>
  <w:style w:type="character" w:customStyle="1" w:styleId="15">
    <w:name w:val="Текст выноски Знак15"/>
    <w:uiPriority w:val="99"/>
    <w:semiHidden/>
    <w:rsid w:val="002C2766"/>
    <w:rPr>
      <w:rFonts w:ascii="Tahoma" w:hAnsi="Tahoma" w:cs="Tahoma"/>
      <w:sz w:val="16"/>
      <w:szCs w:val="16"/>
      <w:lang w:val="x-none" w:eastAsia="en-US"/>
    </w:rPr>
  </w:style>
  <w:style w:type="character" w:customStyle="1" w:styleId="14">
    <w:name w:val="Текст выноски Знак14"/>
    <w:uiPriority w:val="99"/>
    <w:semiHidden/>
    <w:rsid w:val="002C2766"/>
    <w:rPr>
      <w:rFonts w:ascii="Tahoma" w:hAnsi="Tahoma" w:cs="Tahoma"/>
      <w:sz w:val="16"/>
      <w:szCs w:val="16"/>
      <w:lang w:val="x-none" w:eastAsia="en-US"/>
    </w:rPr>
  </w:style>
  <w:style w:type="character" w:customStyle="1" w:styleId="10">
    <w:name w:val="Текст выноски Знак10"/>
    <w:uiPriority w:val="99"/>
    <w:semiHidden/>
    <w:rsid w:val="002C2766"/>
    <w:rPr>
      <w:rFonts w:ascii="Tahoma" w:hAnsi="Tahoma" w:cs="Tahoma"/>
      <w:sz w:val="16"/>
      <w:szCs w:val="16"/>
      <w:lang w:val="x-none" w:eastAsia="en-US"/>
    </w:rPr>
  </w:style>
  <w:style w:type="character" w:customStyle="1" w:styleId="9">
    <w:name w:val="Текст выноски Знак9"/>
    <w:uiPriority w:val="99"/>
    <w:semiHidden/>
    <w:rsid w:val="002C2766"/>
    <w:rPr>
      <w:rFonts w:ascii="Tahoma" w:hAnsi="Tahoma" w:cs="Tahoma"/>
      <w:sz w:val="16"/>
      <w:szCs w:val="16"/>
      <w:lang w:val="x-none" w:eastAsia="en-US"/>
    </w:rPr>
  </w:style>
  <w:style w:type="character" w:customStyle="1" w:styleId="8">
    <w:name w:val="Текст выноски Знак8"/>
    <w:uiPriority w:val="99"/>
    <w:semiHidden/>
    <w:rsid w:val="002C2766"/>
    <w:rPr>
      <w:rFonts w:ascii="Tahoma" w:hAnsi="Tahoma" w:cs="Tahoma"/>
      <w:sz w:val="16"/>
      <w:szCs w:val="16"/>
      <w:lang w:val="x-none" w:eastAsia="en-US"/>
    </w:rPr>
  </w:style>
  <w:style w:type="character" w:customStyle="1" w:styleId="7">
    <w:name w:val="Текст выноски Знак7"/>
    <w:uiPriority w:val="99"/>
    <w:semiHidden/>
    <w:rsid w:val="002C2766"/>
    <w:rPr>
      <w:rFonts w:ascii="Tahoma" w:hAnsi="Tahoma" w:cs="Tahoma"/>
      <w:sz w:val="16"/>
      <w:szCs w:val="16"/>
      <w:lang w:val="x-none" w:eastAsia="en-US"/>
    </w:rPr>
  </w:style>
  <w:style w:type="character" w:customStyle="1" w:styleId="6">
    <w:name w:val="Текст выноски Знак6"/>
    <w:uiPriority w:val="99"/>
    <w:semiHidden/>
    <w:rsid w:val="002C2766"/>
    <w:rPr>
      <w:rFonts w:ascii="Tahoma" w:hAnsi="Tahoma" w:cs="Tahoma"/>
      <w:sz w:val="16"/>
      <w:szCs w:val="16"/>
      <w:lang w:val="x-none" w:eastAsia="en-US"/>
    </w:rPr>
  </w:style>
  <w:style w:type="character" w:customStyle="1" w:styleId="5">
    <w:name w:val="Текст выноски Знак5"/>
    <w:uiPriority w:val="99"/>
    <w:semiHidden/>
    <w:rsid w:val="002C2766"/>
    <w:rPr>
      <w:rFonts w:ascii="Tahoma" w:hAnsi="Tahoma" w:cs="Tahoma"/>
      <w:sz w:val="16"/>
      <w:szCs w:val="16"/>
      <w:lang w:val="x-none" w:eastAsia="en-US"/>
    </w:rPr>
  </w:style>
  <w:style w:type="character" w:customStyle="1" w:styleId="4">
    <w:name w:val="Текст выноски Знак4"/>
    <w:uiPriority w:val="99"/>
    <w:semiHidden/>
    <w:rsid w:val="002C2766"/>
    <w:rPr>
      <w:rFonts w:ascii="Tahoma" w:hAnsi="Tahoma" w:cs="Tahoma"/>
      <w:sz w:val="16"/>
      <w:szCs w:val="16"/>
      <w:lang w:val="x-none" w:eastAsia="en-US"/>
    </w:rPr>
  </w:style>
  <w:style w:type="character" w:customStyle="1" w:styleId="3">
    <w:name w:val="Текст выноски Знак3"/>
    <w:uiPriority w:val="99"/>
    <w:semiHidden/>
    <w:rsid w:val="002C2766"/>
    <w:rPr>
      <w:rFonts w:ascii="Tahoma" w:hAnsi="Tahoma" w:cs="Tahoma"/>
      <w:sz w:val="16"/>
      <w:szCs w:val="16"/>
      <w:lang w:val="x-none" w:eastAsia="en-US"/>
    </w:rPr>
  </w:style>
  <w:style w:type="character" w:customStyle="1" w:styleId="BalloonTextChar1">
    <w:name w:val="Balloon Text Char1"/>
    <w:uiPriority w:val="99"/>
    <w:semiHidden/>
    <w:rsid w:val="002C2766"/>
    <w:rPr>
      <w:rFonts w:ascii="Lucida Grande CY" w:hAnsi="Lucida Grande CY" w:cs="Lucida Grande CY"/>
      <w:sz w:val="18"/>
      <w:szCs w:val="18"/>
    </w:rPr>
  </w:style>
  <w:style w:type="character" w:customStyle="1" w:styleId="1">
    <w:name w:val="Текст выноски Знак1"/>
    <w:uiPriority w:val="99"/>
    <w:semiHidden/>
    <w:rsid w:val="002C2766"/>
    <w:rPr>
      <w:rFonts w:ascii="Tahoma" w:hAnsi="Tahoma" w:cs="Tahoma"/>
      <w:sz w:val="16"/>
      <w:szCs w:val="16"/>
      <w:lang w:val="x-none" w:eastAsia="en-US"/>
    </w:rPr>
  </w:style>
  <w:style w:type="character" w:customStyle="1" w:styleId="13">
    <w:name w:val="Текст выноски Знак13"/>
    <w:uiPriority w:val="99"/>
    <w:semiHidden/>
    <w:rsid w:val="002C2766"/>
    <w:rPr>
      <w:rFonts w:ascii="Tahoma" w:hAnsi="Tahoma" w:cs="Tahoma"/>
      <w:sz w:val="16"/>
      <w:szCs w:val="16"/>
      <w:lang w:val="x-none" w:eastAsia="en-US"/>
    </w:rPr>
  </w:style>
  <w:style w:type="character" w:customStyle="1" w:styleId="12">
    <w:name w:val="Текст выноски Знак12"/>
    <w:uiPriority w:val="99"/>
    <w:semiHidden/>
    <w:rsid w:val="002C2766"/>
    <w:rPr>
      <w:rFonts w:ascii="Tahoma" w:hAnsi="Tahoma" w:cs="Tahoma"/>
      <w:sz w:val="16"/>
      <w:szCs w:val="16"/>
      <w:lang w:val="x-none" w:eastAsia="en-US"/>
    </w:rPr>
  </w:style>
  <w:style w:type="character" w:customStyle="1" w:styleId="11">
    <w:name w:val="Текст выноски Знак11"/>
    <w:uiPriority w:val="99"/>
    <w:semiHidden/>
    <w:rsid w:val="002C2766"/>
    <w:rPr>
      <w:rFonts w:ascii="Tahoma" w:hAnsi="Tahoma" w:cs="Tahoma"/>
      <w:sz w:val="16"/>
      <w:szCs w:val="16"/>
      <w:lang w:val="x-none" w:eastAsia="en-US"/>
    </w:rPr>
  </w:style>
  <w:style w:type="paragraph" w:customStyle="1" w:styleId="-31">
    <w:name w:val="Светлая сетка - Акцент 31"/>
    <w:basedOn w:val="a"/>
    <w:uiPriority w:val="34"/>
    <w:qFormat/>
    <w:rsid w:val="002C2766"/>
    <w:rPr>
      <w:rFonts w:ascii="Times New Roman" w:hAnsi="Times New Roman"/>
      <w:szCs w:val="20"/>
      <w:lang w:eastAsia="ru-RU"/>
    </w:rPr>
  </w:style>
  <w:style w:type="character" w:customStyle="1" w:styleId="apple-converted-space">
    <w:name w:val="apple-converted-space"/>
    <w:rsid w:val="002C2766"/>
    <w:rPr>
      <w:rFonts w:cs="Times New Roman"/>
    </w:rPr>
  </w:style>
  <w:style w:type="table" w:styleId="aa">
    <w:name w:val="Table Grid"/>
    <w:basedOn w:val="a1"/>
    <w:uiPriority w:val="59"/>
    <w:rsid w:val="002C2766"/>
    <w:rPr>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C2766"/>
    <w:pPr>
      <w:spacing w:before="100" w:beforeAutospacing="1" w:after="100" w:afterAutospacing="1" w:line="240" w:lineRule="auto"/>
    </w:pPr>
    <w:rPr>
      <w:rFonts w:ascii="Times New Roman" w:hAnsi="Times New Roman"/>
      <w:sz w:val="24"/>
      <w:szCs w:val="24"/>
      <w:lang w:val="ru-RU" w:eastAsia="ru-RU"/>
    </w:rPr>
  </w:style>
  <w:style w:type="character" w:styleId="ac">
    <w:name w:val="annotation reference"/>
    <w:uiPriority w:val="99"/>
    <w:semiHidden/>
    <w:unhideWhenUsed/>
    <w:rsid w:val="002C2766"/>
    <w:rPr>
      <w:rFonts w:cs="Times New Roman"/>
      <w:sz w:val="16"/>
      <w:szCs w:val="16"/>
    </w:rPr>
  </w:style>
  <w:style w:type="paragraph" w:styleId="ad">
    <w:name w:val="annotation text"/>
    <w:basedOn w:val="a"/>
    <w:link w:val="ae"/>
    <w:uiPriority w:val="99"/>
    <w:semiHidden/>
    <w:unhideWhenUsed/>
    <w:rsid w:val="002C2766"/>
    <w:pPr>
      <w:spacing w:line="240" w:lineRule="auto"/>
    </w:pPr>
    <w:rPr>
      <w:sz w:val="20"/>
      <w:szCs w:val="20"/>
    </w:rPr>
  </w:style>
  <w:style w:type="character" w:customStyle="1" w:styleId="ae">
    <w:name w:val="Текст примечания Знак"/>
    <w:link w:val="ad"/>
    <w:uiPriority w:val="99"/>
    <w:semiHidden/>
    <w:locked/>
    <w:rsid w:val="002C2766"/>
    <w:rPr>
      <w:rFonts w:eastAsia="Times New Roman" w:cs="Times New Roman"/>
      <w:sz w:val="20"/>
      <w:szCs w:val="20"/>
      <w:lang w:bidi="ar-SA"/>
    </w:rPr>
  </w:style>
  <w:style w:type="character" w:customStyle="1" w:styleId="af">
    <w:name w:val="Тема примечания Знак"/>
    <w:link w:val="af0"/>
    <w:uiPriority w:val="99"/>
    <w:semiHidden/>
    <w:locked/>
    <w:rsid w:val="002C2766"/>
    <w:rPr>
      <w:rFonts w:eastAsia="Times New Roman" w:cs="Times New Roman"/>
      <w:b/>
      <w:bCs/>
      <w:sz w:val="20"/>
      <w:szCs w:val="20"/>
      <w:lang w:val="x-none" w:eastAsia="x-none" w:bidi="ar-SA"/>
    </w:rPr>
  </w:style>
  <w:style w:type="paragraph" w:styleId="af0">
    <w:name w:val="annotation subject"/>
    <w:basedOn w:val="ad"/>
    <w:next w:val="ad"/>
    <w:link w:val="af"/>
    <w:uiPriority w:val="99"/>
    <w:semiHidden/>
    <w:unhideWhenUsed/>
    <w:rsid w:val="002C2766"/>
    <w:rPr>
      <w:b/>
      <w:bCs/>
    </w:rPr>
  </w:style>
  <w:style w:type="character" w:customStyle="1" w:styleId="1a">
    <w:name w:val="Тема примечания Знак1"/>
    <w:uiPriority w:val="99"/>
    <w:semiHidden/>
    <w:rPr>
      <w:rFonts w:eastAsia="Times New Roman" w:cs="Times New Roman"/>
      <w:b/>
      <w:bCs/>
      <w:sz w:val="20"/>
      <w:szCs w:val="20"/>
      <w:lang w:bidi="ar-SA"/>
    </w:rPr>
  </w:style>
  <w:style w:type="character" w:customStyle="1" w:styleId="170">
    <w:name w:val="Тема примечания Знак17"/>
    <w:uiPriority w:val="99"/>
    <w:semiHidden/>
    <w:rPr>
      <w:rFonts w:eastAsia="Times New Roman" w:cs="Times New Roman"/>
      <w:b/>
      <w:bCs/>
      <w:sz w:val="20"/>
      <w:szCs w:val="20"/>
      <w:lang w:bidi="ar-SA"/>
    </w:rPr>
  </w:style>
  <w:style w:type="character" w:customStyle="1" w:styleId="160">
    <w:name w:val="Тема примечания Знак16"/>
    <w:uiPriority w:val="99"/>
    <w:semiHidden/>
    <w:rPr>
      <w:rFonts w:eastAsia="Times New Roman" w:cs="Times New Roman"/>
      <w:b/>
      <w:bCs/>
      <w:sz w:val="20"/>
      <w:szCs w:val="20"/>
      <w:lang w:bidi="ar-SA"/>
    </w:rPr>
  </w:style>
  <w:style w:type="character" w:customStyle="1" w:styleId="150">
    <w:name w:val="Тема примечания Знак15"/>
    <w:uiPriority w:val="99"/>
    <w:semiHidden/>
    <w:rPr>
      <w:rFonts w:eastAsia="Times New Roman" w:cs="Times New Roman"/>
      <w:b/>
      <w:bCs/>
      <w:sz w:val="20"/>
      <w:szCs w:val="20"/>
      <w:lang w:bidi="ar-SA"/>
    </w:rPr>
  </w:style>
  <w:style w:type="character" w:customStyle="1" w:styleId="140">
    <w:name w:val="Тема примечания Знак14"/>
    <w:uiPriority w:val="99"/>
    <w:semiHidden/>
    <w:rPr>
      <w:rFonts w:eastAsia="Times New Roman" w:cs="Times New Roman"/>
      <w:b/>
      <w:bCs/>
      <w:sz w:val="20"/>
      <w:szCs w:val="20"/>
      <w:lang w:bidi="ar-SA"/>
    </w:rPr>
  </w:style>
  <w:style w:type="character" w:customStyle="1" w:styleId="130">
    <w:name w:val="Тема примечания Знак13"/>
    <w:uiPriority w:val="99"/>
    <w:semiHidden/>
    <w:rsid w:val="002C2766"/>
    <w:rPr>
      <w:rFonts w:eastAsia="Times New Roman" w:cs="Times New Roman"/>
      <w:b/>
      <w:bCs/>
      <w:sz w:val="20"/>
      <w:szCs w:val="20"/>
      <w:lang w:bidi="ar-SA"/>
    </w:rPr>
  </w:style>
  <w:style w:type="character" w:customStyle="1" w:styleId="120">
    <w:name w:val="Тема примечания Знак12"/>
    <w:uiPriority w:val="99"/>
    <w:semiHidden/>
    <w:rsid w:val="002C2766"/>
    <w:rPr>
      <w:rFonts w:eastAsia="Times New Roman" w:cs="Times New Roman"/>
      <w:b/>
      <w:bCs/>
      <w:sz w:val="20"/>
      <w:szCs w:val="20"/>
      <w:lang w:val="x-none" w:eastAsia="en-US" w:bidi="ar-SA"/>
    </w:rPr>
  </w:style>
  <w:style w:type="character" w:customStyle="1" w:styleId="110">
    <w:name w:val="Тема примечания Знак11"/>
    <w:uiPriority w:val="99"/>
    <w:semiHidden/>
    <w:rsid w:val="002C2766"/>
    <w:rPr>
      <w:rFonts w:eastAsia="Times New Roman" w:cs="Times New Roman"/>
      <w:b/>
      <w:bCs/>
      <w:sz w:val="20"/>
      <w:szCs w:val="20"/>
      <w:lang w:val="x-none" w:eastAsia="en-US" w:bidi="ar-SA"/>
    </w:rPr>
  </w:style>
  <w:style w:type="paragraph" w:customStyle="1" w:styleId="af1">
    <w:name w:val="Содержимое таблицы"/>
    <w:basedOn w:val="a"/>
    <w:rsid w:val="008668BC"/>
    <w:pPr>
      <w:suppressLineNumbers/>
      <w:suppressAutoHyphens/>
      <w:spacing w:after="0" w:line="240" w:lineRule="auto"/>
    </w:pPr>
    <w:rPr>
      <w:rFonts w:ascii="Times New Roman" w:hAnsi="Times New Roman"/>
      <w:sz w:val="24"/>
      <w:szCs w:val="24"/>
      <w:lang w:eastAsia="zh-CN"/>
    </w:rPr>
  </w:style>
  <w:style w:type="table" w:customStyle="1" w:styleId="210">
    <w:name w:val="Таблица простая 21"/>
    <w:basedOn w:val="a1"/>
    <w:uiPriority w:val="42"/>
    <w:rsid w:val="002302E1"/>
    <w:rPr>
      <w:rFonts w:cs="Times New Roman"/>
      <w:lang w:val="en-US"/>
    </w:rPr>
    <w:tblPr>
      <w:tblStyleRowBandSize w:val="1"/>
      <w:tblStyleColBandSize w:val="1"/>
      <w:tblBorders>
        <w:top w:val="single" w:sz="4" w:space="0" w:color="7F7F7F"/>
        <w:bottom w:val="single" w:sz="4" w:space="0" w:color="7F7F7F"/>
      </w:tblBorders>
    </w:tblPr>
    <w:tblStylePr w:type="firstRow">
      <w:rPr>
        <w:rFonts w:cs="Times New Roman"/>
        <w:b/>
        <w:bCs/>
      </w:rPr>
      <w:tblPr/>
      <w:tcPr>
        <w:tcBorders>
          <w:bottom w:val="single" w:sz="4" w:space="0" w:color="7F7F7F"/>
        </w:tcBorders>
      </w:tcPr>
    </w:tblStylePr>
    <w:tblStylePr w:type="lastRow">
      <w:rPr>
        <w:rFonts w:cs="Times New Roman"/>
        <w:b/>
        <w:bCs/>
      </w:rPr>
      <w:tblPr/>
      <w:tcPr>
        <w:tcBorders>
          <w:top w:val="single" w:sz="4" w:space="0" w:color="7F7F7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right w:val="single" w:sz="4" w:space="0" w:color="7F7F7F"/>
        </w:tcBorders>
      </w:tcPr>
    </w:tblStylePr>
    <w:tblStylePr w:type="band2Vert">
      <w:rPr>
        <w:rFonts w:cs="Times New Roman"/>
      </w:rPr>
      <w:tblPr/>
      <w:tcPr>
        <w:tcBorders>
          <w:left w:val="single" w:sz="4" w:space="0" w:color="7F7F7F"/>
          <w:right w:val="single" w:sz="4" w:space="0" w:color="7F7F7F"/>
        </w:tcBorders>
      </w:tcPr>
    </w:tblStylePr>
    <w:tblStylePr w:type="band1Horz">
      <w:rPr>
        <w:rFonts w:cs="Times New Roman"/>
      </w:rPr>
      <w:tblPr/>
      <w:tcPr>
        <w:tcBorders>
          <w:top w:val="single" w:sz="4" w:space="0" w:color="7F7F7F"/>
          <w:bottom w:val="single" w:sz="4" w:space="0" w:color="7F7F7F"/>
        </w:tcBorders>
      </w:tcPr>
    </w:tblStylePr>
  </w:style>
  <w:style w:type="paragraph" w:customStyle="1" w:styleId="TimesNewRoman">
    <w:name w:val="Times New Roman"/>
    <w:basedOn w:val="af2"/>
    <w:qFormat/>
    <w:rsid w:val="007D3D13"/>
    <w:rPr>
      <w:rFonts w:ascii="Times New Roman" w:eastAsiaTheme="minorHAnsi" w:hAnsi="Times New Roman"/>
      <w:sz w:val="28"/>
      <w:lang w:val="en-US"/>
    </w:rPr>
  </w:style>
  <w:style w:type="paragraph" w:styleId="af2">
    <w:name w:val="No Spacing"/>
    <w:uiPriority w:val="99"/>
    <w:qFormat/>
    <w:rsid w:val="007D3D13"/>
    <w:rPr>
      <w:rFonts w:cs="Times New Roman"/>
      <w:sz w:val="22"/>
      <w:szCs w:val="22"/>
      <w:lang w:val="uk-UA" w:eastAsia="en-US"/>
    </w:rPr>
  </w:style>
  <w:style w:type="character" w:customStyle="1" w:styleId="rvts44">
    <w:name w:val="rvts44"/>
    <w:basedOn w:val="a0"/>
    <w:rsid w:val="004B0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22242">
      <w:marLeft w:val="0"/>
      <w:marRight w:val="0"/>
      <w:marTop w:val="0"/>
      <w:marBottom w:val="0"/>
      <w:divBdr>
        <w:top w:val="none" w:sz="0" w:space="0" w:color="auto"/>
        <w:left w:val="none" w:sz="0" w:space="0" w:color="auto"/>
        <w:bottom w:val="none" w:sz="0" w:space="0" w:color="auto"/>
        <w:right w:val="none" w:sz="0" w:space="0" w:color="auto"/>
      </w:divBdr>
    </w:div>
    <w:div w:id="87122243">
      <w:marLeft w:val="0"/>
      <w:marRight w:val="0"/>
      <w:marTop w:val="0"/>
      <w:marBottom w:val="0"/>
      <w:divBdr>
        <w:top w:val="none" w:sz="0" w:space="0" w:color="auto"/>
        <w:left w:val="none" w:sz="0" w:space="0" w:color="auto"/>
        <w:bottom w:val="none" w:sz="0" w:space="0" w:color="auto"/>
        <w:right w:val="none" w:sz="0" w:space="0" w:color="auto"/>
      </w:divBdr>
      <w:divsChild>
        <w:div w:id="87122244">
          <w:marLeft w:val="0"/>
          <w:marRight w:val="0"/>
          <w:marTop w:val="0"/>
          <w:marBottom w:val="0"/>
          <w:divBdr>
            <w:top w:val="none" w:sz="0" w:space="0" w:color="auto"/>
            <w:left w:val="none" w:sz="0" w:space="0" w:color="auto"/>
            <w:bottom w:val="none" w:sz="0" w:space="0" w:color="auto"/>
            <w:right w:val="none" w:sz="0" w:space="0" w:color="auto"/>
          </w:divBdr>
        </w:div>
      </w:divsChild>
    </w:div>
    <w:div w:id="560599157">
      <w:bodyDiv w:val="1"/>
      <w:marLeft w:val="0"/>
      <w:marRight w:val="0"/>
      <w:marTop w:val="0"/>
      <w:marBottom w:val="0"/>
      <w:divBdr>
        <w:top w:val="none" w:sz="0" w:space="0" w:color="auto"/>
        <w:left w:val="none" w:sz="0" w:space="0" w:color="auto"/>
        <w:bottom w:val="none" w:sz="0" w:space="0" w:color="auto"/>
        <w:right w:val="none" w:sz="0" w:space="0" w:color="auto"/>
      </w:divBdr>
    </w:div>
    <w:div w:id="111463743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400">
                <a:latin typeface="Times New Roman" panose="02020603050405020304" pitchFamily="18" charset="0"/>
                <a:cs typeface="Times New Roman" panose="02020603050405020304" pitchFamily="18" charset="0"/>
              </a:rPr>
              <a:t>Динаміка обсягів заготівлі </a:t>
            </a: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sz="1400">
                <a:latin typeface="Times New Roman" panose="02020603050405020304" pitchFamily="18" charset="0"/>
                <a:cs typeface="Times New Roman" panose="02020603050405020304" pitchFamily="18" charset="0"/>
              </a:rPr>
              <a:t>брухту чорних металів в Україні </a:t>
            </a:r>
          </a:p>
        </c:rich>
      </c:tx>
      <c:overlay val="0"/>
    </c:title>
    <c:autoTitleDeleted val="0"/>
    <c:plotArea>
      <c:layout/>
      <c:barChart>
        <c:barDir val="col"/>
        <c:grouping val="clustered"/>
        <c:varyColors val="0"/>
        <c:ser>
          <c:idx val="0"/>
          <c:order val="0"/>
          <c:tx>
            <c:strRef>
              <c:f>Лист1!$B$1</c:f>
              <c:strCache>
                <c:ptCount val="1"/>
                <c:pt idx="0">
                  <c:v>Заготівля брухту (ліва шкала)</c:v>
                </c:pt>
              </c:strCache>
            </c:strRef>
          </c:tx>
          <c:spPr>
            <a:solidFill>
              <a:srgbClr val="0070C0"/>
            </a:solidFill>
            <a:ln>
              <a:solidFill>
                <a:srgbClr val="00B0F0"/>
              </a:solidFill>
            </a:ln>
            <a:effectLst>
              <a:innerShdw blurRad="114300">
                <a:schemeClr val="accent5">
                  <a:shade val="76000"/>
                </a:schemeClr>
              </a:innerShdw>
            </a:effectLst>
          </c:spPr>
          <c:invertIfNegative val="0"/>
          <c:dPt>
            <c:idx val="2"/>
            <c:invertIfNegative val="0"/>
            <c:bubble3D val="0"/>
            <c:spPr>
              <a:solidFill>
                <a:srgbClr val="0070C0"/>
              </a:solidFill>
              <a:ln>
                <a:noFill/>
              </a:ln>
              <a:effectLst>
                <a:innerShdw blurRad="114300">
                  <a:schemeClr val="accent5">
                    <a:shade val="76000"/>
                  </a:schemeClr>
                </a:innerShdw>
              </a:effectLst>
            </c:spPr>
            <c:extLst xmlns:c16r2="http://schemas.microsoft.com/office/drawing/2015/06/chart">
              <c:ext xmlns:c16="http://schemas.microsoft.com/office/drawing/2014/chart" uri="{C3380CC4-5D6E-409C-BE32-E72D297353CC}">
                <c16:uniqueId val="{00000002-1584-9E4E-9911-BBE29F56252C}"/>
              </c:ext>
            </c:extLst>
          </c:dPt>
          <c:dLbls>
            <c:spPr>
              <a:noFill/>
              <a:ln>
                <a:noFill/>
              </a:ln>
              <a:effectLst/>
            </c:spPr>
            <c:txPr>
              <a:bodyPr rot="0" spcFirstLastPara="1" vertOverflow="ellipsis" vert="horz" wrap="square" anchor="ctr" anchorCtr="1"/>
              <a:lstStyle/>
              <a:p>
                <a:pPr>
                  <a:defRPr sz="10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Лист1!$A$2:$A$9</c:f>
              <c:strCache>
                <c:ptCount val="8"/>
                <c:pt idx="0">
                  <c:v>2011</c:v>
                </c:pt>
                <c:pt idx="1">
                  <c:v>2012</c:v>
                </c:pt>
                <c:pt idx="2">
                  <c:v>2013</c:v>
                </c:pt>
                <c:pt idx="3">
                  <c:v>2014</c:v>
                </c:pt>
                <c:pt idx="4">
                  <c:v>2015</c:v>
                </c:pt>
                <c:pt idx="5">
                  <c:v>2016</c:v>
                </c:pt>
                <c:pt idx="6">
                  <c:v>2017</c:v>
                </c:pt>
                <c:pt idx="7">
                  <c:v>01.-10.2018</c:v>
                </c:pt>
              </c:strCache>
            </c:strRef>
          </c:cat>
          <c:val>
            <c:numRef>
              <c:f>Лист1!$B$2:$B$9</c:f>
              <c:numCache>
                <c:formatCode>General</c:formatCode>
                <c:ptCount val="8"/>
                <c:pt idx="0">
                  <c:v>7.5</c:v>
                </c:pt>
                <c:pt idx="1">
                  <c:v>5.4</c:v>
                </c:pt>
                <c:pt idx="2">
                  <c:v>4.7</c:v>
                </c:pt>
                <c:pt idx="3">
                  <c:v>4.4000000000000004</c:v>
                </c:pt>
                <c:pt idx="4">
                  <c:v>4.3</c:v>
                </c:pt>
                <c:pt idx="5">
                  <c:v>3.5</c:v>
                </c:pt>
                <c:pt idx="6">
                  <c:v>3.8</c:v>
                </c:pt>
                <c:pt idx="7">
                  <c:v>3.03</c:v>
                </c:pt>
              </c:numCache>
            </c:numRef>
          </c:val>
          <c:extLst xmlns:c16r2="http://schemas.microsoft.com/office/drawing/2015/06/chart">
            <c:ext xmlns:c16="http://schemas.microsoft.com/office/drawing/2014/chart" uri="{C3380CC4-5D6E-409C-BE32-E72D297353CC}">
              <c16:uniqueId val="{00000000-1584-9E4E-9911-BBE29F56252C}"/>
            </c:ext>
          </c:extLst>
        </c:ser>
        <c:dLbls>
          <c:dLblPos val="inEnd"/>
          <c:showLegendKey val="0"/>
          <c:showVal val="1"/>
          <c:showCatName val="0"/>
          <c:showSerName val="0"/>
          <c:showPercent val="0"/>
          <c:showBubbleSize val="0"/>
        </c:dLbls>
        <c:gapWidth val="100"/>
        <c:axId val="225186560"/>
        <c:axId val="225188096"/>
      </c:barChart>
      <c:lineChart>
        <c:grouping val="standard"/>
        <c:varyColors val="0"/>
        <c:ser>
          <c:idx val="1"/>
          <c:order val="1"/>
          <c:tx>
            <c:strRef>
              <c:f>Лист1!$C$1</c:f>
              <c:strCache>
                <c:ptCount val="1"/>
                <c:pt idx="0">
                  <c:v>у % до 2011 р. (права шкала)</c:v>
                </c:pt>
              </c:strCache>
            </c:strRef>
          </c:tx>
          <c:spPr>
            <a:ln w="28575" cap="rnd">
              <a:solidFill>
                <a:schemeClr val="accent5">
                  <a:tint val="77000"/>
                </a:schemeClr>
              </a:solidFill>
              <a:round/>
            </a:ln>
            <a:effectLst/>
          </c:spPr>
          <c:marker>
            <c:symbol val="circle"/>
            <c:size val="6"/>
            <c:spPr>
              <a:solidFill>
                <a:schemeClr val="accent5">
                  <a:tint val="77000"/>
                </a:schemeClr>
              </a:solidFill>
              <a:ln>
                <a:noFill/>
              </a:ln>
              <a:effectLst/>
            </c:spPr>
          </c:marker>
          <c:dLbls>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Лист1!$A$2:$A$9</c:f>
              <c:strCache>
                <c:ptCount val="8"/>
                <c:pt idx="0">
                  <c:v>2011</c:v>
                </c:pt>
                <c:pt idx="1">
                  <c:v>2012</c:v>
                </c:pt>
                <c:pt idx="2">
                  <c:v>2013</c:v>
                </c:pt>
                <c:pt idx="3">
                  <c:v>2014</c:v>
                </c:pt>
                <c:pt idx="4">
                  <c:v>2015</c:v>
                </c:pt>
                <c:pt idx="5">
                  <c:v>2016</c:v>
                </c:pt>
                <c:pt idx="6">
                  <c:v>2017</c:v>
                </c:pt>
                <c:pt idx="7">
                  <c:v>01.-10.2018</c:v>
                </c:pt>
              </c:strCache>
            </c:strRef>
          </c:cat>
          <c:val>
            <c:numRef>
              <c:f>Лист1!$C$2:$C$9</c:f>
              <c:numCache>
                <c:formatCode>0%</c:formatCode>
                <c:ptCount val="8"/>
                <c:pt idx="0">
                  <c:v>1</c:v>
                </c:pt>
                <c:pt idx="1">
                  <c:v>0.72</c:v>
                </c:pt>
                <c:pt idx="2">
                  <c:v>0.62</c:v>
                </c:pt>
                <c:pt idx="3">
                  <c:v>0.57999999999999996</c:v>
                </c:pt>
                <c:pt idx="4">
                  <c:v>0.56999999999999995</c:v>
                </c:pt>
                <c:pt idx="5">
                  <c:v>0.46</c:v>
                </c:pt>
                <c:pt idx="6">
                  <c:v>0.50660000000000005</c:v>
                </c:pt>
                <c:pt idx="7">
                  <c:v>0.504332</c:v>
                </c:pt>
              </c:numCache>
            </c:numRef>
          </c:val>
          <c:smooth val="1"/>
          <c:extLst xmlns:c16r2="http://schemas.microsoft.com/office/drawing/2015/06/chart">
            <c:ext xmlns:c16="http://schemas.microsoft.com/office/drawing/2014/chart" uri="{C3380CC4-5D6E-409C-BE32-E72D297353CC}">
              <c16:uniqueId val="{00000001-1584-9E4E-9911-BBE29F56252C}"/>
            </c:ext>
          </c:extLst>
        </c:ser>
        <c:dLbls>
          <c:showLegendKey val="0"/>
          <c:showVal val="0"/>
          <c:showCatName val="0"/>
          <c:showSerName val="0"/>
          <c:showPercent val="0"/>
          <c:showBubbleSize val="0"/>
        </c:dLbls>
        <c:marker val="1"/>
        <c:smooth val="0"/>
        <c:axId val="225601408"/>
        <c:axId val="225599872"/>
      </c:lineChart>
      <c:catAx>
        <c:axId val="22518656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5188096"/>
        <c:crosses val="autoZero"/>
        <c:auto val="1"/>
        <c:lblAlgn val="ctr"/>
        <c:lblOffset val="100"/>
        <c:noMultiLvlLbl val="0"/>
      </c:catAx>
      <c:valAx>
        <c:axId val="225188096"/>
        <c:scaling>
          <c:orientation val="minMax"/>
          <c:max val="12"/>
        </c:scaling>
        <c:delete val="0"/>
        <c:axPos val="l"/>
        <c:majorGridlines>
          <c:spPr>
            <a:ln>
              <a:solidFill>
                <a:schemeClr val="tx1">
                  <a:lumMod val="15000"/>
                  <a:lumOff val="85000"/>
                </a:schemeClr>
              </a:solidFill>
              <a:prstDash val="dash"/>
            </a:ln>
            <a:effectLst/>
          </c:spPr>
        </c:majorGridlines>
        <c:title>
          <c:tx>
            <c:rich>
              <a:bodyPr rot="-54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rPr>
                  <a:t>млн.</a:t>
                </a:r>
                <a:r>
                  <a:rPr lang="ru-RU" baseline="0">
                    <a:solidFill>
                      <a:sysClr val="windowText" lastClr="000000"/>
                    </a:solidFill>
                  </a:rPr>
                  <a:t> т</a:t>
                </a:r>
                <a:endParaRPr lang="ru-RU">
                  <a:solidFill>
                    <a:sysClr val="windowText" lastClr="000000"/>
                  </a:solidFill>
                </a:endParaRPr>
              </a:p>
            </c:rich>
          </c:tx>
          <c:layout>
            <c:manualLayout>
              <c:xMode val="edge"/>
              <c:yMode val="edge"/>
              <c:x val="1.9845644983461964E-2"/>
              <c:y val="3.6213874588719407E-2"/>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5186560"/>
        <c:crosses val="autoZero"/>
        <c:crossBetween val="between"/>
        <c:majorUnit val="2"/>
      </c:valAx>
      <c:valAx>
        <c:axId val="225599872"/>
        <c:scaling>
          <c:orientation val="minMax"/>
          <c:max val="1.2"/>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5601408"/>
        <c:crosses val="max"/>
        <c:crossBetween val="between"/>
        <c:majorUnit val="0.2"/>
      </c:valAx>
      <c:catAx>
        <c:axId val="225601408"/>
        <c:scaling>
          <c:orientation val="minMax"/>
        </c:scaling>
        <c:delete val="1"/>
        <c:axPos val="b"/>
        <c:numFmt formatCode="General" sourceLinked="1"/>
        <c:majorTickMark val="none"/>
        <c:minorTickMark val="none"/>
        <c:tickLblPos val="nextTo"/>
        <c:crossAx val="22559987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200" b="1" i="0" u="none" strike="noStrike" kern="1200" cap="all" spc="15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kern="1200" cap="none" spc="100" baseline="0"/>
              <a:t>Забезпечення металургійних підприємств брухтом внутрішньої заготівлі</a:t>
            </a:r>
            <a:endParaRPr lang="ru-RU" sz="1400" kern="1200" cap="none" spc="100" baseline="0"/>
          </a:p>
        </c:rich>
      </c:tx>
      <c:overlay val="0"/>
      <c:spPr>
        <a:noFill/>
        <a:ln>
          <a:noFill/>
        </a:ln>
        <a:effectLst/>
      </c:spPr>
    </c:title>
    <c:autoTitleDeleted val="0"/>
    <c:plotArea>
      <c:layout/>
      <c:barChart>
        <c:barDir val="col"/>
        <c:grouping val="clustered"/>
        <c:varyColors val="0"/>
        <c:ser>
          <c:idx val="0"/>
          <c:order val="0"/>
          <c:tx>
            <c:strRef>
              <c:f>Лист1!$B$1</c:f>
              <c:strCache>
                <c:ptCount val="1"/>
                <c:pt idx="0">
                  <c:v>Весь рік</c:v>
                </c:pt>
              </c:strCache>
            </c:strRef>
          </c:tx>
          <c:spPr>
            <a:solidFill>
              <a:srgbClr val="0070C0"/>
            </a:solidFill>
            <a:ln>
              <a:noFill/>
            </a:ln>
            <a:effectLst>
              <a:innerShdw blurRad="114300">
                <a:schemeClr val="accent5">
                  <a:shade val="76000"/>
                </a:schemeClr>
              </a:innerShdw>
            </a:effectLst>
          </c:spPr>
          <c:invertIfNegative val="0"/>
          <c:dLbls>
            <c:spPr>
              <a:noFill/>
              <a:ln>
                <a:noFill/>
              </a:ln>
              <a:effectLst/>
            </c:spPr>
            <c:txPr>
              <a:bodyPr rot="0" spcFirstLastPara="1" vertOverflow="ellipsis" vert="horz" wrap="square" anchor="ctr" anchorCtr="1"/>
              <a:lstStyle/>
              <a:p>
                <a:pPr>
                  <a:defRPr sz="1100" b="1" i="0" u="none" strike="noStrike" kern="1200" baseline="0">
                    <a:solidFill>
                      <a:schemeClr val="accent5">
                        <a:lumMod val="50000"/>
                      </a:schemeClr>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2015</c:v>
                </c:pt>
                <c:pt idx="1">
                  <c:v>2016</c:v>
                </c:pt>
                <c:pt idx="2">
                  <c:v>2017</c:v>
                </c:pt>
                <c:pt idx="3">
                  <c:v>2018</c:v>
                </c:pt>
              </c:numCache>
            </c:numRef>
          </c:cat>
          <c:val>
            <c:numRef>
              <c:f>Лист1!$B$2:$B$5</c:f>
              <c:numCache>
                <c:formatCode>0.000</c:formatCode>
                <c:ptCount val="4"/>
                <c:pt idx="0">
                  <c:v>3.1</c:v>
                </c:pt>
                <c:pt idx="1">
                  <c:v>3.2349999999999999</c:v>
                </c:pt>
                <c:pt idx="2">
                  <c:v>3.3</c:v>
                </c:pt>
              </c:numCache>
            </c:numRef>
          </c:val>
          <c:extLst xmlns:c16r2="http://schemas.microsoft.com/office/drawing/2015/06/chart">
            <c:ext xmlns:c16="http://schemas.microsoft.com/office/drawing/2014/chart" uri="{C3380CC4-5D6E-409C-BE32-E72D297353CC}">
              <c16:uniqueId val="{00000000-34D6-7644-834C-F358A7CBFB0E}"/>
            </c:ext>
          </c:extLst>
        </c:ser>
        <c:ser>
          <c:idx val="1"/>
          <c:order val="1"/>
          <c:tx>
            <c:strRef>
              <c:f>Лист1!$C$1</c:f>
              <c:strCache>
                <c:ptCount val="1"/>
                <c:pt idx="0">
                  <c:v>10 місяців</c:v>
                </c:pt>
              </c:strCache>
            </c:strRef>
          </c:tx>
          <c:spPr>
            <a:solidFill>
              <a:schemeClr val="accent1">
                <a:lumMod val="60000"/>
                <a:lumOff val="40000"/>
              </a:schemeClr>
            </a:solidFill>
            <a:ln>
              <a:noFill/>
            </a:ln>
            <a:effectLst>
              <a:innerShdw blurRad="114300">
                <a:schemeClr val="accent5">
                  <a:tint val="77000"/>
                </a:schemeClr>
              </a:innerShdw>
            </a:effectLst>
          </c:spPr>
          <c:invertIfNegative val="0"/>
          <c:dLbls>
            <c:dLbl>
              <c:idx val="1"/>
              <c:layout>
                <c:manualLayout>
                  <c:x val="0"/>
                  <c:y val="2.2050716648290259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4D6-7644-834C-F358A7CBFB0E}"/>
                </c:ext>
              </c:extLst>
            </c:dLbl>
            <c:dLbl>
              <c:idx val="2"/>
              <c:layout>
                <c:manualLayout>
                  <c:x val="8.0851693704735569E-17"/>
                  <c:y val="-2.205071664829107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4D6-7644-834C-F358A7CBFB0E}"/>
                </c:ext>
              </c:extLst>
            </c:dLbl>
            <c:dLbl>
              <c:idx val="3"/>
              <c:layout>
                <c:manualLayout>
                  <c:x val="-1.6170338740947114E-16"/>
                  <c:y val="1.1025358324145534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4D6-7644-834C-F358A7CBFB0E}"/>
                </c:ext>
              </c:extLst>
            </c:dLbl>
            <c:spPr>
              <a:noFill/>
              <a:ln>
                <a:noFill/>
              </a:ln>
              <a:effectLst/>
            </c:spPr>
            <c:txPr>
              <a:bodyPr rot="0" spcFirstLastPara="1" vertOverflow="ellipsis" vert="horz" wrap="square" anchor="ctr" anchorCtr="1"/>
              <a:lstStyle/>
              <a:p>
                <a:pPr>
                  <a:defRPr sz="1100" b="1" i="0" u="none" strike="noStrike" kern="1200" baseline="0">
                    <a:solidFill>
                      <a:schemeClr val="accent5">
                        <a:lumMod val="50000"/>
                      </a:schemeClr>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Лист1!$A$2:$A$5</c:f>
              <c:numCache>
                <c:formatCode>General</c:formatCode>
                <c:ptCount val="4"/>
                <c:pt idx="0">
                  <c:v>2015</c:v>
                </c:pt>
                <c:pt idx="1">
                  <c:v>2016</c:v>
                </c:pt>
                <c:pt idx="2">
                  <c:v>2017</c:v>
                </c:pt>
                <c:pt idx="3">
                  <c:v>2018</c:v>
                </c:pt>
              </c:numCache>
            </c:numRef>
          </c:cat>
          <c:val>
            <c:numRef>
              <c:f>Лист1!$C$2:$C$5</c:f>
              <c:numCache>
                <c:formatCode>0.000</c:formatCode>
                <c:ptCount val="4"/>
                <c:pt idx="1">
                  <c:v>2.62</c:v>
                </c:pt>
                <c:pt idx="2" formatCode="General">
                  <c:v>2.6829999999999998</c:v>
                </c:pt>
                <c:pt idx="3">
                  <c:v>2.71</c:v>
                </c:pt>
              </c:numCache>
            </c:numRef>
          </c:val>
          <c:extLst xmlns:c16r2="http://schemas.microsoft.com/office/drawing/2015/06/chart">
            <c:ext xmlns:c16="http://schemas.microsoft.com/office/drawing/2014/chart" uri="{C3380CC4-5D6E-409C-BE32-E72D297353CC}">
              <c16:uniqueId val="{00000004-34D6-7644-834C-F358A7CBFB0E}"/>
            </c:ext>
          </c:extLst>
        </c:ser>
        <c:dLbls>
          <c:dLblPos val="inEnd"/>
          <c:showLegendKey val="0"/>
          <c:showVal val="1"/>
          <c:showCatName val="0"/>
          <c:showSerName val="0"/>
          <c:showPercent val="0"/>
          <c:showBubbleSize val="0"/>
        </c:dLbls>
        <c:gapWidth val="164"/>
        <c:overlap val="-22"/>
        <c:axId val="229074432"/>
        <c:axId val="229075968"/>
      </c:barChart>
      <c:catAx>
        <c:axId val="22907443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075968"/>
        <c:crosses val="autoZero"/>
        <c:auto val="1"/>
        <c:lblAlgn val="ctr"/>
        <c:lblOffset val="100"/>
        <c:noMultiLvlLbl val="0"/>
      </c:catAx>
      <c:valAx>
        <c:axId val="229075968"/>
        <c:scaling>
          <c:orientation val="minMax"/>
          <c:min val="2"/>
        </c:scaling>
        <c:delete val="0"/>
        <c:axPos val="l"/>
        <c:title>
          <c:tx>
            <c:rich>
              <a:bodyPr rot="-54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млн. т</a:t>
                </a:r>
              </a:p>
            </c:rich>
          </c:tx>
          <c:layout>
            <c:manualLayout>
              <c:xMode val="edge"/>
              <c:yMode val="edge"/>
              <c:x val="1.9845644983461964E-2"/>
              <c:y val="3.6213874588719407E-2"/>
            </c:manualLayout>
          </c:layout>
          <c:overlay val="0"/>
          <c:spPr>
            <a:noFill/>
            <a:ln>
              <a:noFill/>
            </a:ln>
            <a:effectLst/>
          </c:sp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07443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Entry>
      <c:legendEntry>
        <c:idx val="1"/>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Entry>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a:pPr>
            <a:r>
              <a:rPr lang="uk-UA" sz="1400" b="1" i="0" u="none" strike="noStrike" baseline="0">
                <a:effectLst/>
              </a:rPr>
              <a:t>Динаміка фізичних обсягів експорту та середньорічних експортних цін на брухт чорних металів </a:t>
            </a:r>
            <a:endParaRPr lang="ru-RU" sz="1400"/>
          </a:p>
        </c:rich>
      </c:tx>
      <c:overlay val="0"/>
    </c:title>
    <c:autoTitleDeleted val="0"/>
    <c:plotArea>
      <c:layout/>
      <c:barChart>
        <c:barDir val="col"/>
        <c:grouping val="clustered"/>
        <c:varyColors val="0"/>
        <c:ser>
          <c:idx val="0"/>
          <c:order val="0"/>
          <c:tx>
            <c:strRef>
              <c:f>Лист1!$B$1</c:f>
              <c:strCache>
                <c:ptCount val="1"/>
                <c:pt idx="0">
                  <c:v>Експорт (ліва шкала)</c:v>
                </c:pt>
              </c:strCache>
            </c:strRef>
          </c:tx>
          <c:spPr>
            <a:solidFill>
              <a:srgbClr val="0070C0"/>
            </a:solidFill>
            <a:ln>
              <a:noFill/>
            </a:ln>
            <a:effectLst>
              <a:innerShdw blurRad="114300">
                <a:schemeClr val="accent5">
                  <a:shade val="76000"/>
                </a:schemeClr>
              </a:innerShdw>
            </a:effectLst>
          </c:spPr>
          <c:invertIfNegative val="0"/>
          <c:dLbls>
            <c:spPr>
              <a:noFill/>
              <a:ln>
                <a:noFill/>
              </a:ln>
              <a:effectLst/>
            </c:spPr>
            <c:txPr>
              <a:bodyPr rot="0" spcFirstLastPara="1" vertOverflow="ellipsis" vert="horz" wrap="square" anchor="ctr" anchorCtr="1"/>
              <a:lstStyle/>
              <a:p>
                <a:pPr>
                  <a:defRPr sz="11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Лист1!$A$2:$A$9</c:f>
              <c:strCache>
                <c:ptCount val="8"/>
                <c:pt idx="0">
                  <c:v>2011</c:v>
                </c:pt>
                <c:pt idx="1">
                  <c:v>2012</c:v>
                </c:pt>
                <c:pt idx="2">
                  <c:v>2013</c:v>
                </c:pt>
                <c:pt idx="3">
                  <c:v>2014</c:v>
                </c:pt>
                <c:pt idx="4">
                  <c:v>2015</c:v>
                </c:pt>
                <c:pt idx="5">
                  <c:v>2016</c:v>
                </c:pt>
                <c:pt idx="6">
                  <c:v>2017</c:v>
                </c:pt>
                <c:pt idx="7">
                  <c:v>01.-10.2018</c:v>
                </c:pt>
              </c:strCache>
            </c:strRef>
          </c:cat>
          <c:val>
            <c:numRef>
              <c:f>Лист1!$B$2:$B$9</c:f>
              <c:numCache>
                <c:formatCode>0.0</c:formatCode>
                <c:ptCount val="8"/>
                <c:pt idx="0">
                  <c:v>801.78</c:v>
                </c:pt>
                <c:pt idx="1">
                  <c:v>366.54</c:v>
                </c:pt>
                <c:pt idx="2">
                  <c:v>255.27</c:v>
                </c:pt>
                <c:pt idx="3">
                  <c:v>921.9</c:v>
                </c:pt>
                <c:pt idx="4">
                  <c:v>1212.55</c:v>
                </c:pt>
                <c:pt idx="5">
                  <c:v>272.56</c:v>
                </c:pt>
                <c:pt idx="6">
                  <c:v>488.7</c:v>
                </c:pt>
                <c:pt idx="7">
                  <c:v>316.2</c:v>
                </c:pt>
              </c:numCache>
            </c:numRef>
          </c:val>
          <c:extLst xmlns:c16r2="http://schemas.microsoft.com/office/drawing/2015/06/chart">
            <c:ext xmlns:c16="http://schemas.microsoft.com/office/drawing/2014/chart" uri="{C3380CC4-5D6E-409C-BE32-E72D297353CC}">
              <c16:uniqueId val="{00000000-CDB2-2540-B530-9FECC8A65463}"/>
            </c:ext>
          </c:extLst>
        </c:ser>
        <c:dLbls>
          <c:dLblPos val="inEnd"/>
          <c:showLegendKey val="0"/>
          <c:showVal val="1"/>
          <c:showCatName val="0"/>
          <c:showSerName val="0"/>
          <c:showPercent val="0"/>
          <c:showBubbleSize val="0"/>
        </c:dLbls>
        <c:gapWidth val="100"/>
        <c:axId val="229555200"/>
        <c:axId val="229565184"/>
      </c:barChart>
      <c:lineChart>
        <c:grouping val="standard"/>
        <c:varyColors val="0"/>
        <c:ser>
          <c:idx val="1"/>
          <c:order val="1"/>
          <c:tx>
            <c:strRef>
              <c:f>Лист1!$C$1</c:f>
              <c:strCache>
                <c:ptCount val="1"/>
                <c:pt idx="0">
                  <c:v>Середньорічна ціна експорту (права шкала)</c:v>
                </c:pt>
              </c:strCache>
            </c:strRef>
          </c:tx>
          <c:spPr>
            <a:ln w="28575" cap="rnd">
              <a:solidFill>
                <a:schemeClr val="accent5">
                  <a:tint val="77000"/>
                </a:schemeClr>
              </a:solidFill>
              <a:round/>
            </a:ln>
            <a:effectLst/>
          </c:spPr>
          <c:marker>
            <c:symbol val="circle"/>
            <c:size val="6"/>
            <c:spPr>
              <a:solidFill>
                <a:schemeClr val="accent5">
                  <a:tint val="77000"/>
                </a:schemeClr>
              </a:solidFill>
              <a:ln>
                <a:noFill/>
              </a:ln>
              <a:effectLst/>
            </c:spPr>
          </c:marker>
          <c:dLbls>
            <c:dLbl>
              <c:idx val="0"/>
              <c:layout>
                <c:manualLayout>
                  <c:x val="-4.6306504961411248E-2"/>
                  <c:y val="-5.292171995589858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DB2-2540-B530-9FECC8A65463}"/>
                </c:ext>
              </c:extLst>
            </c:dLbl>
            <c:dLbl>
              <c:idx val="1"/>
              <c:layout>
                <c:manualLayout>
                  <c:x val="-1.3230429988974642E-2"/>
                  <c:y val="-2.646085997794928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DB2-2540-B530-9FECC8A65463}"/>
                </c:ext>
              </c:extLst>
            </c:dLbl>
            <c:dLbl>
              <c:idx val="2"/>
              <c:layout>
                <c:manualLayout>
                  <c:x val="-3.3076074972436607E-2"/>
                  <c:y val="-3.969128996692392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DB2-2540-B530-9FECC8A65463}"/>
                </c:ext>
              </c:extLst>
            </c:dLbl>
            <c:dLbl>
              <c:idx val="3"/>
              <c:layout>
                <c:manualLayout>
                  <c:x val="-3.5281146637265795E-2"/>
                  <c:y val="-4.410143329658217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DB2-2540-B530-9FECC8A65463}"/>
                </c:ext>
              </c:extLst>
            </c:dLbl>
            <c:dLbl>
              <c:idx val="4"/>
              <c:layout>
                <c:manualLayout>
                  <c:x val="1.7640573318632856E-2"/>
                  <c:y val="-8.820286659316427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DB2-2540-B530-9FECC8A65463}"/>
                </c:ext>
              </c:extLst>
            </c:dLbl>
            <c:dLbl>
              <c:idx val="5"/>
              <c:layout>
                <c:manualLayout>
                  <c:x val="-3.7486218302094816E-2"/>
                  <c:y val="-4.851157662624035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CDB2-2540-B530-9FECC8A65463}"/>
                </c:ext>
              </c:extLst>
            </c:dLbl>
            <c:dLbl>
              <c:idx val="6"/>
              <c:layout>
                <c:manualLayout>
                  <c:x val="-4.6306504961411407E-2"/>
                  <c:y val="-4.851157662624035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DB2-2540-B530-9FECC8A65463}"/>
                </c:ext>
              </c:extLst>
            </c:dLbl>
            <c:dLbl>
              <c:idx val="7"/>
              <c:layout>
                <c:manualLayout>
                  <c:x val="-4.4101433296582136E-2"/>
                  <c:y val="-4.293222443115227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CDB2-2540-B530-9FECC8A65463}"/>
                </c:ext>
              </c:extLst>
            </c:dLbl>
            <c:spPr>
              <a:noFill/>
              <a:ln>
                <a:noFill/>
              </a:ln>
              <a:effectLst/>
            </c:spPr>
            <c:txPr>
              <a:bodyPr rot="0" spcFirstLastPara="1" vertOverflow="ellipsis" vert="horz" wrap="square" anchor="ctr" anchorCtr="1"/>
              <a:lstStyle/>
              <a:p>
                <a:pPr>
                  <a:defRPr sz="11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Лист1!$A$2:$A$9</c:f>
              <c:strCache>
                <c:ptCount val="8"/>
                <c:pt idx="0">
                  <c:v>2011</c:v>
                </c:pt>
                <c:pt idx="1">
                  <c:v>2012</c:v>
                </c:pt>
                <c:pt idx="2">
                  <c:v>2013</c:v>
                </c:pt>
                <c:pt idx="3">
                  <c:v>2014</c:v>
                </c:pt>
                <c:pt idx="4">
                  <c:v>2015</c:v>
                </c:pt>
                <c:pt idx="5">
                  <c:v>2016</c:v>
                </c:pt>
                <c:pt idx="6">
                  <c:v>2017</c:v>
                </c:pt>
                <c:pt idx="7">
                  <c:v>01.-10.2018</c:v>
                </c:pt>
              </c:strCache>
            </c:strRef>
          </c:cat>
          <c:val>
            <c:numRef>
              <c:f>Лист1!$C$2:$C$9</c:f>
              <c:numCache>
                <c:formatCode>0.0</c:formatCode>
                <c:ptCount val="8"/>
                <c:pt idx="0">
                  <c:v>399.41</c:v>
                </c:pt>
                <c:pt idx="1">
                  <c:v>417.79</c:v>
                </c:pt>
                <c:pt idx="2">
                  <c:v>312.01</c:v>
                </c:pt>
                <c:pt idx="3">
                  <c:v>314.38900000000001</c:v>
                </c:pt>
                <c:pt idx="4">
                  <c:v>238.79</c:v>
                </c:pt>
                <c:pt idx="5">
                  <c:v>178.46</c:v>
                </c:pt>
                <c:pt idx="6">
                  <c:v>249.3</c:v>
                </c:pt>
                <c:pt idx="7">
                  <c:v>324.10000000000002</c:v>
                </c:pt>
              </c:numCache>
            </c:numRef>
          </c:val>
          <c:smooth val="1"/>
          <c:extLst xmlns:c16r2="http://schemas.microsoft.com/office/drawing/2015/06/chart">
            <c:ext xmlns:c16="http://schemas.microsoft.com/office/drawing/2014/chart" uri="{C3380CC4-5D6E-409C-BE32-E72D297353CC}">
              <c16:uniqueId val="{00000009-CDB2-2540-B530-9FECC8A65463}"/>
            </c:ext>
          </c:extLst>
        </c:ser>
        <c:dLbls>
          <c:showLegendKey val="0"/>
          <c:showVal val="0"/>
          <c:showCatName val="0"/>
          <c:showSerName val="0"/>
          <c:showPercent val="0"/>
          <c:showBubbleSize val="0"/>
        </c:dLbls>
        <c:marker val="1"/>
        <c:smooth val="0"/>
        <c:axId val="229245696"/>
        <c:axId val="229567104"/>
      </c:lineChart>
      <c:catAx>
        <c:axId val="22955520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565184"/>
        <c:crosses val="autoZero"/>
        <c:auto val="1"/>
        <c:lblAlgn val="ctr"/>
        <c:lblOffset val="100"/>
        <c:noMultiLvlLbl val="0"/>
      </c:catAx>
      <c:valAx>
        <c:axId val="229565184"/>
        <c:scaling>
          <c:orientation val="minMax"/>
          <c:max val="1800"/>
        </c:scaling>
        <c:delete val="0"/>
        <c:axPos val="l"/>
        <c:majorGridlines>
          <c:spPr>
            <a:ln>
              <a:solidFill>
                <a:schemeClr val="tx1">
                  <a:lumMod val="15000"/>
                  <a:lumOff val="85000"/>
                </a:schemeClr>
              </a:solidFill>
              <a:prstDash val="dash"/>
            </a:ln>
            <a:effectLst/>
          </c:spPr>
        </c:majorGridlines>
        <c:title>
          <c:tx>
            <c:rich>
              <a:bodyPr rot="-54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rPr>
                  <a:t>тис.</a:t>
                </a:r>
                <a:r>
                  <a:rPr lang="ru-RU" baseline="0">
                    <a:solidFill>
                      <a:sysClr val="windowText" lastClr="000000"/>
                    </a:solidFill>
                  </a:rPr>
                  <a:t> т</a:t>
                </a:r>
                <a:endParaRPr lang="ru-RU">
                  <a:solidFill>
                    <a:sysClr val="windowText" lastClr="000000"/>
                  </a:solidFill>
                </a:endParaRPr>
              </a:p>
            </c:rich>
          </c:tx>
          <c:layout>
            <c:manualLayout>
              <c:xMode val="edge"/>
              <c:yMode val="edge"/>
              <c:x val="1.9845644983461964E-2"/>
              <c:y val="3.6213874588719407E-2"/>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555200"/>
        <c:crosses val="autoZero"/>
        <c:crossBetween val="between"/>
      </c:valAx>
      <c:valAx>
        <c:axId val="229567104"/>
        <c:scaling>
          <c:orientation val="minMax"/>
        </c:scaling>
        <c:delete val="0"/>
        <c:axPos val="r"/>
        <c:title>
          <c:tx>
            <c:rich>
              <a:bodyPr rot="-54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rPr>
                  <a:t>дол.</a:t>
                </a:r>
                <a:r>
                  <a:rPr lang="ru-RU" baseline="0">
                    <a:solidFill>
                      <a:sysClr val="windowText" lastClr="000000"/>
                    </a:solidFill>
                  </a:rPr>
                  <a:t> США / т</a:t>
                </a:r>
                <a:endParaRPr lang="ru-RU">
                  <a:solidFill>
                    <a:sysClr val="windowText" lastClr="000000"/>
                  </a:solidFill>
                </a:endParaRPr>
              </a:p>
            </c:rich>
          </c:tx>
          <c:layout>
            <c:manualLayout>
              <c:xMode val="edge"/>
              <c:yMode val="edge"/>
              <c:x val="0.95293265850037767"/>
              <c:y val="3.3435484291034746E-2"/>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245696"/>
        <c:crosses val="max"/>
        <c:crossBetween val="between"/>
      </c:valAx>
      <c:catAx>
        <c:axId val="229245696"/>
        <c:scaling>
          <c:orientation val="minMax"/>
        </c:scaling>
        <c:delete val="1"/>
        <c:axPos val="b"/>
        <c:numFmt formatCode="General" sourceLinked="1"/>
        <c:majorTickMark val="none"/>
        <c:minorTickMark val="none"/>
        <c:tickLblPos val="nextTo"/>
        <c:crossAx val="2295671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percentStacked"/>
        <c:varyColors val="0"/>
        <c:ser>
          <c:idx val="0"/>
          <c:order val="0"/>
          <c:tx>
            <c:strRef>
              <c:f>Лист1!$B$1</c:f>
              <c:strCache>
                <c:ptCount val="1"/>
                <c:pt idx="0">
                  <c:v>Туреччина</c:v>
                </c:pt>
              </c:strCache>
            </c:strRef>
          </c:tx>
          <c:spPr>
            <a:solidFill>
              <a:schemeClr val="accent1"/>
            </a:solidFill>
            <a:ln w="19050">
              <a:solidFill>
                <a:schemeClr val="lt1"/>
              </a:solidFill>
            </a:ln>
            <a:effectLst>
              <a:innerShdw blurRad="114300">
                <a:schemeClr val="accent1">
                  <a:shade val="65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Лист1!$A$2:$A$3</c:f>
              <c:strCache>
                <c:ptCount val="2"/>
                <c:pt idx="0">
                  <c:v>Імпорт</c:v>
                </c:pt>
                <c:pt idx="1">
                  <c:v>Експорт</c:v>
                </c:pt>
              </c:strCache>
            </c:strRef>
          </c:cat>
          <c:val>
            <c:numRef>
              <c:f>Лист1!$B$2:$B$3</c:f>
              <c:numCache>
                <c:formatCode>0.0</c:formatCode>
                <c:ptCount val="2"/>
                <c:pt idx="0">
                  <c:v>14.3</c:v>
                </c:pt>
                <c:pt idx="1">
                  <c:v>120.6</c:v>
                </c:pt>
              </c:numCache>
            </c:numRef>
          </c:val>
          <c:extLst xmlns:c16r2="http://schemas.microsoft.com/office/drawing/2015/06/chart">
            <c:ext xmlns:c16="http://schemas.microsoft.com/office/drawing/2014/chart" uri="{C3380CC4-5D6E-409C-BE32-E72D297353CC}">
              <c16:uniqueId val="{00000000-69AF-9E46-9A2B-31C83F37F536}"/>
            </c:ext>
          </c:extLst>
        </c:ser>
        <c:ser>
          <c:idx val="1"/>
          <c:order val="1"/>
          <c:tx>
            <c:strRef>
              <c:f>Лист1!$C$1</c:f>
              <c:strCache>
                <c:ptCount val="1"/>
                <c:pt idx="0">
                  <c:v>Молдова</c:v>
                </c:pt>
              </c:strCache>
            </c:strRef>
          </c:tx>
          <c:spPr>
            <a:solidFill>
              <a:srgbClr val="FF0000"/>
            </a:solidFill>
            <a:ln w="19050">
              <a:solidFill>
                <a:schemeClr val="lt1"/>
              </a:solidFill>
            </a:ln>
            <a:effectLst>
              <a:innerShdw blurRad="114300">
                <a:schemeClr val="accent1"/>
              </a:innerShdw>
            </a:effectLst>
          </c:spPr>
          <c:invertIfNegative val="0"/>
          <c:dPt>
            <c:idx val="1"/>
            <c:invertIfNegative val="0"/>
            <c:bubble3D val="0"/>
            <c:spPr>
              <a:solidFill>
                <a:srgbClr val="FF0000"/>
              </a:solidFill>
              <a:ln w="19050">
                <a:solidFill>
                  <a:schemeClr val="lt1"/>
                </a:solidFill>
              </a:ln>
              <a:effectLst>
                <a:innerShdw>
                  <a:schemeClr val="accent1"/>
                </a:innerShdw>
              </a:effectLst>
            </c:spPr>
            <c:extLst xmlns:c16r2="http://schemas.microsoft.com/office/drawing/2015/06/chart">
              <c:ext xmlns:c16="http://schemas.microsoft.com/office/drawing/2014/chart" uri="{C3380CC4-5D6E-409C-BE32-E72D297353CC}">
                <c16:uniqueId val="{00000004-69AF-9E46-9A2B-31C83F37F536}"/>
              </c:ext>
            </c:extLst>
          </c:dPt>
          <c:dLbls>
            <c:dLbl>
              <c:idx val="0"/>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9AF-9E46-9A2B-31C83F37F536}"/>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Лист1!$A$2:$A$3</c:f>
              <c:strCache>
                <c:ptCount val="2"/>
                <c:pt idx="0">
                  <c:v>Імпорт</c:v>
                </c:pt>
                <c:pt idx="1">
                  <c:v>Експорт</c:v>
                </c:pt>
              </c:strCache>
            </c:strRef>
          </c:cat>
          <c:val>
            <c:numRef>
              <c:f>Лист1!$C$2:$C$3</c:f>
              <c:numCache>
                <c:formatCode>0.0</c:formatCode>
                <c:ptCount val="2"/>
                <c:pt idx="0">
                  <c:v>0</c:v>
                </c:pt>
                <c:pt idx="1">
                  <c:v>189</c:v>
                </c:pt>
              </c:numCache>
            </c:numRef>
          </c:val>
          <c:extLst xmlns:c16r2="http://schemas.microsoft.com/office/drawing/2015/06/chart">
            <c:ext xmlns:c16="http://schemas.microsoft.com/office/drawing/2014/chart" uri="{C3380CC4-5D6E-409C-BE32-E72D297353CC}">
              <c16:uniqueId val="{00000002-69AF-9E46-9A2B-31C83F37F536}"/>
            </c:ext>
          </c:extLst>
        </c:ser>
        <c:ser>
          <c:idx val="2"/>
          <c:order val="2"/>
          <c:tx>
            <c:strRef>
              <c:f>Лист1!$D$1</c:f>
              <c:strCache>
                <c:ptCount val="1"/>
                <c:pt idx="0">
                  <c:v>Інші країни</c:v>
                </c:pt>
              </c:strCache>
            </c:strRef>
          </c:tx>
          <c:spPr>
            <a:solidFill>
              <a:srgbClr val="00B0F0"/>
            </a:solidFill>
            <a:ln w="19050">
              <a:solidFill>
                <a:schemeClr val="lt1"/>
              </a:solidFill>
            </a:ln>
            <a:effectLst>
              <a:innerShdw blurRad="114300">
                <a:schemeClr val="accent1">
                  <a:tint val="65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Лист1!$A$2:$A$3</c:f>
              <c:strCache>
                <c:ptCount val="2"/>
                <c:pt idx="0">
                  <c:v>Імпорт</c:v>
                </c:pt>
                <c:pt idx="1">
                  <c:v>Експорт</c:v>
                </c:pt>
              </c:strCache>
            </c:strRef>
          </c:cat>
          <c:val>
            <c:numRef>
              <c:f>Лист1!$D$2:$D$3</c:f>
              <c:numCache>
                <c:formatCode>0.0</c:formatCode>
                <c:ptCount val="2"/>
                <c:pt idx="0">
                  <c:v>16.899999999999999</c:v>
                </c:pt>
                <c:pt idx="1">
                  <c:v>6.6</c:v>
                </c:pt>
              </c:numCache>
            </c:numRef>
          </c:val>
          <c:extLst xmlns:c16r2="http://schemas.microsoft.com/office/drawing/2015/06/chart">
            <c:ext xmlns:c16="http://schemas.microsoft.com/office/drawing/2014/chart" uri="{C3380CC4-5D6E-409C-BE32-E72D297353CC}">
              <c16:uniqueId val="{00000003-69AF-9E46-9A2B-31C83F37F536}"/>
            </c:ext>
          </c:extLst>
        </c:ser>
        <c:dLbls>
          <c:showLegendKey val="0"/>
          <c:showVal val="0"/>
          <c:showCatName val="0"/>
          <c:showSerName val="0"/>
          <c:showPercent val="0"/>
          <c:showBubbleSize val="0"/>
        </c:dLbls>
        <c:gapWidth val="100"/>
        <c:overlap val="100"/>
        <c:axId val="229453184"/>
        <c:axId val="229451648"/>
      </c:barChart>
      <c:valAx>
        <c:axId val="229451648"/>
        <c:scaling>
          <c:orientation val="minMax"/>
        </c:scaling>
        <c:delete val="0"/>
        <c:axPos val="b"/>
        <c:majorGridlines>
          <c:spPr>
            <a:ln>
              <a:solidFill>
                <a:schemeClr val="tx1">
                  <a:lumMod val="15000"/>
                  <a:lumOff val="85000"/>
                </a:schemeClr>
              </a:solidFill>
              <a:prstDash val="dash"/>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453184"/>
        <c:crosses val="autoZero"/>
        <c:crossBetween val="between"/>
      </c:valAx>
      <c:catAx>
        <c:axId val="229453184"/>
        <c:scaling>
          <c:orientation val="minMax"/>
        </c:scaling>
        <c:delete val="0"/>
        <c:axPos val="l"/>
        <c:numFmt formatCode="General" sourceLinked="1"/>
        <c:majorTickMark val="out"/>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4516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cap="all" spc="150" baseline="0">
              <a:solidFill>
                <a:srgbClr val="00206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Лист1!$B$1</c:f>
              <c:strCache>
                <c:ptCount val="1"/>
                <c:pt idx="0">
                  <c:v>ВВП</c:v>
                </c:pt>
              </c:strCache>
            </c:strRef>
          </c:tx>
          <c:spPr>
            <a:solidFill>
              <a:schemeClr val="accent1"/>
            </a:solidFill>
            <a:ln>
              <a:noFill/>
            </a:ln>
            <a:effectLst>
              <a:innerShdw blurRad="114300">
                <a:schemeClr val="accent1"/>
              </a:innerShdw>
            </a:effectLst>
          </c:spPr>
          <c:invertIfNegative val="0"/>
          <c:dPt>
            <c:idx val="3"/>
            <c:invertIfNegative val="0"/>
            <c:bubble3D val="0"/>
            <c:spPr>
              <a:solidFill>
                <a:srgbClr val="FF0000"/>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0-6909-2849-BC7C-81061128E692}"/>
              </c:ext>
            </c:extLst>
          </c:dPt>
          <c:dPt>
            <c:idx val="4"/>
            <c:invertIfNegative val="0"/>
            <c:bubble3D val="0"/>
            <c:spPr>
              <a:solidFill>
                <a:srgbClr val="FF0000"/>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1-6909-2849-BC7C-81061128E692}"/>
              </c:ext>
            </c:extLst>
          </c:dPt>
          <c:dLbls>
            <c:dLbl>
              <c:idx val="3"/>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dLbl>
            <c:dLbl>
              <c:idx val="4"/>
              <c:layout>
                <c:manualLayout>
                  <c:x val="0"/>
                  <c:y val="1.869158878504672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909-2849-BC7C-81061128E69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Лист1!$A$2:$A$6</c:f>
              <c:strCache>
                <c:ptCount val="5"/>
                <c:pt idx="0">
                  <c:v>Заборона</c:v>
                </c:pt>
                <c:pt idx="1">
                  <c:v>58 євро/т</c:v>
                </c:pt>
                <c:pt idx="2">
                  <c:v>42 євро/т</c:v>
                </c:pt>
                <c:pt idx="3">
                  <c:v>30 євро/т</c:v>
                </c:pt>
                <c:pt idx="4">
                  <c:v>10 євро/т</c:v>
                </c:pt>
              </c:strCache>
            </c:strRef>
          </c:cat>
          <c:val>
            <c:numRef>
              <c:f>Лист1!$B$2:$B$6</c:f>
              <c:numCache>
                <c:formatCode>0.00</c:formatCode>
                <c:ptCount val="5"/>
                <c:pt idx="0">
                  <c:v>0.2087</c:v>
                </c:pt>
                <c:pt idx="1">
                  <c:v>0.1265</c:v>
                </c:pt>
                <c:pt idx="2">
                  <c:v>4.2999999999999997E-2</c:v>
                </c:pt>
                <c:pt idx="3">
                  <c:v>-7.0000000000000007E-2</c:v>
                </c:pt>
                <c:pt idx="4">
                  <c:v>-0.13239999999999999</c:v>
                </c:pt>
              </c:numCache>
            </c:numRef>
          </c:val>
          <c:extLst xmlns:c16r2="http://schemas.microsoft.com/office/drawing/2015/06/chart">
            <c:ext xmlns:c16="http://schemas.microsoft.com/office/drawing/2014/chart" uri="{C3380CC4-5D6E-409C-BE32-E72D297353CC}">
              <c16:uniqueId val="{00000002-6909-2849-BC7C-81061128E692}"/>
            </c:ext>
          </c:extLst>
        </c:ser>
        <c:dLbls>
          <c:showLegendKey val="0"/>
          <c:showVal val="0"/>
          <c:showCatName val="0"/>
          <c:showSerName val="0"/>
          <c:showPercent val="0"/>
          <c:showBubbleSize val="0"/>
        </c:dLbls>
        <c:gapWidth val="164"/>
        <c:overlap val="-22"/>
        <c:axId val="229276288"/>
        <c:axId val="230429056"/>
      </c:barChart>
      <c:catAx>
        <c:axId val="229276288"/>
        <c:scaling>
          <c:orientation val="minMax"/>
        </c:scaling>
        <c:delete val="0"/>
        <c:axPos val="b"/>
        <c:numFmt formatCode="General" sourceLinked="1"/>
        <c:majorTickMark val="none"/>
        <c:minorTickMark val="none"/>
        <c:tickLblPos val="low"/>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30429056"/>
        <c:crosses val="autoZero"/>
        <c:auto val="1"/>
        <c:lblAlgn val="ctr"/>
        <c:lblOffset val="100"/>
        <c:noMultiLvlLbl val="0"/>
      </c:catAx>
      <c:valAx>
        <c:axId val="230429056"/>
        <c:scaling>
          <c:orientation val="minMax"/>
        </c:scaling>
        <c:delete val="0"/>
        <c:axPos val="l"/>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b="0">
                    <a:solidFill>
                      <a:sysClr val="windowText" lastClr="000000"/>
                    </a:solidFill>
                  </a:rPr>
                  <a:t>Відсоткові пункти</a:t>
                </a:r>
              </a:p>
            </c:rich>
          </c:tx>
          <c:layout>
            <c:manualLayout>
              <c:xMode val="edge"/>
              <c:yMode val="edge"/>
              <c:x val="3.5914702581369251E-2"/>
              <c:y val="0.18529055363406677"/>
            </c:manualLayout>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276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cap="all" spc="150" baseline="0">
              <a:solidFill>
                <a:srgbClr val="00206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Лист1!$B$1</c:f>
              <c:strCache>
                <c:ptCount val="1"/>
                <c:pt idx="0">
                  <c:v>Заготівля брухту</c:v>
                </c:pt>
              </c:strCache>
            </c:strRef>
          </c:tx>
          <c:spPr>
            <a:solidFill>
              <a:srgbClr val="FF0000"/>
            </a:solidFill>
            <a:ln>
              <a:noFill/>
            </a:ln>
            <a:effectLst>
              <a:innerShdw blurRad="114300">
                <a:schemeClr val="accent1"/>
              </a:innerShdw>
            </a:effectLst>
          </c:spPr>
          <c:invertIfNegative val="0"/>
          <c:dPt>
            <c:idx val="3"/>
            <c:invertIfNegative val="0"/>
            <c:bubble3D val="0"/>
            <c:spPr>
              <a:solidFill>
                <a:schemeClr val="accent1"/>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4-2733-0A45-B8B7-62342FDB4A22}"/>
              </c:ext>
            </c:extLst>
          </c:dPt>
          <c:dPt>
            <c:idx val="4"/>
            <c:invertIfNegative val="0"/>
            <c:bubble3D val="0"/>
            <c:spPr>
              <a:solidFill>
                <a:schemeClr val="accent1"/>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3-2733-0A45-B8B7-62342FDB4A22}"/>
              </c:ext>
            </c:extLst>
          </c:dPt>
          <c:dLbls>
            <c:dLbl>
              <c:idx val="0"/>
              <c:layout>
                <c:manualLayout>
                  <c:x val="0"/>
                  <c:y val="2.492211838006241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2733-0A45-B8B7-62342FDB4A22}"/>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Лист1!$A$2:$A$6</c:f>
              <c:strCache>
                <c:ptCount val="5"/>
                <c:pt idx="0">
                  <c:v>Заборона</c:v>
                </c:pt>
                <c:pt idx="1">
                  <c:v>58 євро/т</c:v>
                </c:pt>
                <c:pt idx="2">
                  <c:v>42 євро/т</c:v>
                </c:pt>
                <c:pt idx="3">
                  <c:v>30 євро/т</c:v>
                </c:pt>
                <c:pt idx="4">
                  <c:v>10 євро/т</c:v>
                </c:pt>
              </c:strCache>
            </c:strRef>
          </c:cat>
          <c:val>
            <c:numRef>
              <c:f>Лист1!$B$2:$B$6</c:f>
              <c:numCache>
                <c:formatCode>0.0</c:formatCode>
                <c:ptCount val="5"/>
                <c:pt idx="0">
                  <c:v>-5.2</c:v>
                </c:pt>
                <c:pt idx="1">
                  <c:v>-0.7</c:v>
                </c:pt>
                <c:pt idx="2">
                  <c:v>0</c:v>
                </c:pt>
                <c:pt idx="3">
                  <c:v>1.1000000000000001</c:v>
                </c:pt>
                <c:pt idx="4">
                  <c:v>9.7769999999999992</c:v>
                </c:pt>
              </c:numCache>
            </c:numRef>
          </c:val>
          <c:extLst xmlns:c16r2="http://schemas.microsoft.com/office/drawing/2015/06/chart">
            <c:ext xmlns:c16="http://schemas.microsoft.com/office/drawing/2014/chart" uri="{C3380CC4-5D6E-409C-BE32-E72D297353CC}">
              <c16:uniqueId val="{00000002-2733-0A45-B8B7-62342FDB4A22}"/>
            </c:ext>
          </c:extLst>
        </c:ser>
        <c:dLbls>
          <c:showLegendKey val="0"/>
          <c:showVal val="0"/>
          <c:showCatName val="0"/>
          <c:showSerName val="0"/>
          <c:showPercent val="0"/>
          <c:showBubbleSize val="0"/>
        </c:dLbls>
        <c:gapWidth val="164"/>
        <c:overlap val="-22"/>
        <c:axId val="229715968"/>
        <c:axId val="229717504"/>
      </c:barChart>
      <c:catAx>
        <c:axId val="229715968"/>
        <c:scaling>
          <c:orientation val="minMax"/>
        </c:scaling>
        <c:delete val="0"/>
        <c:axPos val="b"/>
        <c:numFmt formatCode="General" sourceLinked="1"/>
        <c:majorTickMark val="none"/>
        <c:minorTickMark val="none"/>
        <c:tickLblPos val="low"/>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717504"/>
        <c:crosses val="autoZero"/>
        <c:auto val="1"/>
        <c:lblAlgn val="ctr"/>
        <c:lblOffset val="100"/>
        <c:noMultiLvlLbl val="0"/>
      </c:catAx>
      <c:valAx>
        <c:axId val="229717504"/>
        <c:scaling>
          <c:orientation val="minMax"/>
        </c:scaling>
        <c:delete val="0"/>
        <c:axPos val="l"/>
        <c:title>
          <c:tx>
            <c:rich>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b="0">
                    <a:solidFill>
                      <a:sysClr val="windowText" lastClr="000000"/>
                    </a:solidFill>
                  </a:rPr>
                  <a:t>%</a:t>
                </a:r>
              </a:p>
            </c:rich>
          </c:tx>
          <c:layout>
            <c:manualLayout>
              <c:xMode val="edge"/>
              <c:yMode val="edge"/>
              <c:x val="3.5914702581369251E-2"/>
              <c:y val="0.18529055363406677"/>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715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cap="all" spc="150" baseline="0">
              <a:solidFill>
                <a:srgbClr val="00206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Лист1!$B$1</c:f>
              <c:strCache>
                <c:ptCount val="1"/>
                <c:pt idx="0">
                  <c:v>Експорт брухту</c:v>
                </c:pt>
              </c:strCache>
            </c:strRef>
          </c:tx>
          <c:spPr>
            <a:solidFill>
              <a:schemeClr val="accent1"/>
            </a:solidFill>
            <a:ln>
              <a:noFill/>
            </a:ln>
            <a:effectLst>
              <a:innerShdw blurRad="114300">
                <a:schemeClr val="accent1"/>
              </a:innerShdw>
            </a:effectLst>
          </c:spPr>
          <c:invertIfNegative val="0"/>
          <c:dPt>
            <c:idx val="0"/>
            <c:invertIfNegative val="0"/>
            <c:bubble3D val="0"/>
            <c:spPr>
              <a:solidFill>
                <a:srgbClr val="FF0000"/>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2-0975-424D-93C9-89A6088679C9}"/>
              </c:ext>
            </c:extLst>
          </c:dPt>
          <c:dPt>
            <c:idx val="1"/>
            <c:invertIfNegative val="0"/>
            <c:bubble3D val="0"/>
            <c:spPr>
              <a:solidFill>
                <a:srgbClr val="FF0000"/>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3-0975-424D-93C9-89A6088679C9}"/>
              </c:ext>
            </c:extLst>
          </c:dPt>
          <c:dPt>
            <c:idx val="2"/>
            <c:invertIfNegative val="0"/>
            <c:bubble3D val="0"/>
            <c:spPr>
              <a:solidFill>
                <a:srgbClr val="FF0000"/>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4-0975-424D-93C9-89A6088679C9}"/>
              </c:ext>
            </c:extLst>
          </c:dPt>
          <c:dLbls>
            <c:dLbl>
              <c:idx val="4"/>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Лист1!$A$2:$A$6</c:f>
              <c:strCache>
                <c:ptCount val="5"/>
                <c:pt idx="0">
                  <c:v>Заборона</c:v>
                </c:pt>
                <c:pt idx="1">
                  <c:v>58 євро/т</c:v>
                </c:pt>
                <c:pt idx="2">
                  <c:v>42євро/т</c:v>
                </c:pt>
                <c:pt idx="3">
                  <c:v>30 євро/т</c:v>
                </c:pt>
                <c:pt idx="4">
                  <c:v>10 євро/т</c:v>
                </c:pt>
              </c:strCache>
            </c:strRef>
          </c:cat>
          <c:val>
            <c:numRef>
              <c:f>Лист1!$B$2:$B$6</c:f>
              <c:numCache>
                <c:formatCode>0.0</c:formatCode>
                <c:ptCount val="5"/>
                <c:pt idx="0">
                  <c:v>-100</c:v>
                </c:pt>
                <c:pt idx="1">
                  <c:v>-16.100000000000001</c:v>
                </c:pt>
                <c:pt idx="2">
                  <c:v>-6.5</c:v>
                </c:pt>
                <c:pt idx="3">
                  <c:v>24.29</c:v>
                </c:pt>
                <c:pt idx="4">
                  <c:v>194.99</c:v>
                </c:pt>
              </c:numCache>
            </c:numRef>
          </c:val>
          <c:extLst xmlns:c16r2="http://schemas.microsoft.com/office/drawing/2015/06/chart">
            <c:ext xmlns:c16="http://schemas.microsoft.com/office/drawing/2014/chart" uri="{C3380CC4-5D6E-409C-BE32-E72D297353CC}">
              <c16:uniqueId val="{00000001-0975-424D-93C9-89A6088679C9}"/>
            </c:ext>
          </c:extLst>
        </c:ser>
        <c:dLbls>
          <c:showLegendKey val="0"/>
          <c:showVal val="0"/>
          <c:showCatName val="0"/>
          <c:showSerName val="0"/>
          <c:showPercent val="0"/>
          <c:showBubbleSize val="0"/>
        </c:dLbls>
        <c:gapWidth val="164"/>
        <c:overlap val="-22"/>
        <c:axId val="230425728"/>
        <c:axId val="230427264"/>
      </c:barChart>
      <c:catAx>
        <c:axId val="230425728"/>
        <c:scaling>
          <c:orientation val="minMax"/>
        </c:scaling>
        <c:delete val="0"/>
        <c:axPos val="b"/>
        <c:numFmt formatCode="General" sourceLinked="1"/>
        <c:majorTickMark val="none"/>
        <c:minorTickMark val="none"/>
        <c:tickLblPos val="low"/>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30427264"/>
        <c:crosses val="autoZero"/>
        <c:auto val="1"/>
        <c:lblAlgn val="ctr"/>
        <c:lblOffset val="100"/>
        <c:noMultiLvlLbl val="0"/>
      </c:catAx>
      <c:valAx>
        <c:axId val="230427264"/>
        <c:scaling>
          <c:orientation val="minMax"/>
        </c:scaling>
        <c:delete val="0"/>
        <c:axPos val="l"/>
        <c:title>
          <c:tx>
            <c:rich>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b="0">
                    <a:solidFill>
                      <a:sysClr val="windowText" lastClr="000000"/>
                    </a:solidFill>
                  </a:rPr>
                  <a:t>%</a:t>
                </a:r>
              </a:p>
            </c:rich>
          </c:tx>
          <c:layout>
            <c:manualLayout>
              <c:xMode val="edge"/>
              <c:yMode val="edge"/>
              <c:x val="3.5914702581369251E-2"/>
              <c:y val="0.18529055363406677"/>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30425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cap="all" spc="150" baseline="0">
              <a:solidFill>
                <a:srgbClr val="00206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Лист1!$B$1</c:f>
              <c:strCache>
                <c:ptCount val="1"/>
                <c:pt idx="0">
                  <c:v>Внутрішні поставки</c:v>
                </c:pt>
              </c:strCache>
            </c:strRef>
          </c:tx>
          <c:spPr>
            <a:solidFill>
              <a:srgbClr val="FF0000"/>
            </a:solidFill>
            <a:ln>
              <a:noFill/>
            </a:ln>
            <a:effectLst>
              <a:innerShdw blurRad="114300">
                <a:schemeClr val="accent1"/>
              </a:innerShdw>
            </a:effectLst>
          </c:spPr>
          <c:invertIfNegative val="0"/>
          <c:dPt>
            <c:idx val="0"/>
            <c:invertIfNegative val="0"/>
            <c:bubble3D val="0"/>
            <c:spPr>
              <a:solidFill>
                <a:schemeClr val="accent1"/>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3-D94E-6549-85AD-56A7A78BA090}"/>
              </c:ext>
            </c:extLst>
          </c:dPt>
          <c:dPt>
            <c:idx val="1"/>
            <c:invertIfNegative val="0"/>
            <c:bubble3D val="0"/>
            <c:spPr>
              <a:solidFill>
                <a:schemeClr val="accent1"/>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4-D94E-6549-85AD-56A7A78BA090}"/>
              </c:ext>
            </c:extLst>
          </c:dPt>
          <c:dLbls>
            <c:dLbl>
              <c:idx val="3"/>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dLbl>
            <c:dLbl>
              <c:idx val="4"/>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Лист1!$A$2:$A$6</c:f>
              <c:strCache>
                <c:ptCount val="5"/>
                <c:pt idx="0">
                  <c:v>Заборона</c:v>
                </c:pt>
                <c:pt idx="1">
                  <c:v>58 євро/т</c:v>
                </c:pt>
                <c:pt idx="2">
                  <c:v>42 євро/т</c:v>
                </c:pt>
                <c:pt idx="3">
                  <c:v>30 євро/т</c:v>
                </c:pt>
                <c:pt idx="4">
                  <c:v>10 євро/т</c:v>
                </c:pt>
              </c:strCache>
            </c:strRef>
          </c:cat>
          <c:val>
            <c:numRef>
              <c:f>Лист1!$B$2:$B$6</c:f>
              <c:numCache>
                <c:formatCode>0.0</c:formatCode>
                <c:ptCount val="5"/>
                <c:pt idx="0">
                  <c:v>11.1</c:v>
                </c:pt>
                <c:pt idx="1">
                  <c:v>3.6</c:v>
                </c:pt>
                <c:pt idx="2">
                  <c:v>0.4</c:v>
                </c:pt>
                <c:pt idx="3">
                  <c:v>-3.8</c:v>
                </c:pt>
                <c:pt idx="4">
                  <c:v>-15.3</c:v>
                </c:pt>
              </c:numCache>
            </c:numRef>
          </c:val>
          <c:extLst xmlns:c16r2="http://schemas.microsoft.com/office/drawing/2015/06/chart">
            <c:ext xmlns:c16="http://schemas.microsoft.com/office/drawing/2014/chart" uri="{C3380CC4-5D6E-409C-BE32-E72D297353CC}">
              <c16:uniqueId val="{00000002-D94E-6549-85AD-56A7A78BA090}"/>
            </c:ext>
          </c:extLst>
        </c:ser>
        <c:dLbls>
          <c:showLegendKey val="0"/>
          <c:showVal val="0"/>
          <c:showCatName val="0"/>
          <c:showSerName val="0"/>
          <c:showPercent val="0"/>
          <c:showBubbleSize val="0"/>
        </c:dLbls>
        <c:gapWidth val="164"/>
        <c:overlap val="-22"/>
        <c:axId val="229857152"/>
        <c:axId val="229858688"/>
      </c:barChart>
      <c:catAx>
        <c:axId val="229857152"/>
        <c:scaling>
          <c:orientation val="minMax"/>
        </c:scaling>
        <c:delete val="0"/>
        <c:axPos val="b"/>
        <c:numFmt formatCode="General" sourceLinked="1"/>
        <c:majorTickMark val="none"/>
        <c:minorTickMark val="none"/>
        <c:tickLblPos val="low"/>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858688"/>
        <c:crosses val="autoZero"/>
        <c:auto val="1"/>
        <c:lblAlgn val="ctr"/>
        <c:lblOffset val="100"/>
        <c:noMultiLvlLbl val="0"/>
      </c:catAx>
      <c:valAx>
        <c:axId val="229858688"/>
        <c:scaling>
          <c:orientation val="minMax"/>
        </c:scaling>
        <c:delete val="0"/>
        <c:axPos val="l"/>
        <c:title>
          <c:tx>
            <c:rich>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b="0">
                    <a:solidFill>
                      <a:sysClr val="windowText" lastClr="000000"/>
                    </a:solidFill>
                  </a:rPr>
                  <a:t>%</a:t>
                </a:r>
              </a:p>
            </c:rich>
          </c:tx>
          <c:layout>
            <c:manualLayout>
              <c:xMode val="edge"/>
              <c:yMode val="edge"/>
              <c:x val="3.5914702581369251E-2"/>
              <c:y val="0.18529055363406677"/>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857152"/>
        <c:crosses val="autoZero"/>
        <c:crossBetween val="between"/>
        <c:majorUnit val="4"/>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cap="all" spc="150" baseline="0">
              <a:solidFill>
                <a:srgbClr val="00206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Лист1!$B$1</c:f>
              <c:strCache>
                <c:ptCount val="1"/>
                <c:pt idx="0">
                  <c:v>Дефіцитність брухту</c:v>
                </c:pt>
              </c:strCache>
            </c:strRef>
          </c:tx>
          <c:spPr>
            <a:solidFill>
              <a:schemeClr val="accent1"/>
            </a:solidFill>
            <a:ln>
              <a:noFill/>
            </a:ln>
            <a:effectLst>
              <a:innerShdw blurRad="114300">
                <a:schemeClr val="accent1"/>
              </a:innerShdw>
            </a:effectLst>
          </c:spPr>
          <c:invertIfNegative val="0"/>
          <c:dLbls>
            <c:dLbl>
              <c:idx val="4"/>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Лист1!$A$2:$A$6</c:f>
              <c:strCache>
                <c:ptCount val="5"/>
                <c:pt idx="0">
                  <c:v>Заборона</c:v>
                </c:pt>
                <c:pt idx="1">
                  <c:v>58 євро/т</c:v>
                </c:pt>
                <c:pt idx="2">
                  <c:v>42 євро/т</c:v>
                </c:pt>
                <c:pt idx="3">
                  <c:v>30 євро/т</c:v>
                </c:pt>
                <c:pt idx="4">
                  <c:v>10 євро/т</c:v>
                </c:pt>
              </c:strCache>
            </c:strRef>
          </c:cat>
          <c:val>
            <c:numRef>
              <c:f>Лист1!$B$2:$B$6</c:f>
              <c:numCache>
                <c:formatCode>0.0</c:formatCode>
                <c:ptCount val="5"/>
                <c:pt idx="0">
                  <c:v>0</c:v>
                </c:pt>
                <c:pt idx="1">
                  <c:v>0.45</c:v>
                </c:pt>
                <c:pt idx="2">
                  <c:v>1.9</c:v>
                </c:pt>
                <c:pt idx="3">
                  <c:v>4.7</c:v>
                </c:pt>
                <c:pt idx="4">
                  <c:v>19.399999999999999</c:v>
                </c:pt>
              </c:numCache>
            </c:numRef>
          </c:val>
          <c:extLst xmlns:c16r2="http://schemas.microsoft.com/office/drawing/2015/06/chart">
            <c:ext xmlns:c16="http://schemas.microsoft.com/office/drawing/2014/chart" uri="{C3380CC4-5D6E-409C-BE32-E72D297353CC}">
              <c16:uniqueId val="{00000001-05A8-FA49-8A82-7DE6C261371A}"/>
            </c:ext>
          </c:extLst>
        </c:ser>
        <c:dLbls>
          <c:showLegendKey val="0"/>
          <c:showVal val="0"/>
          <c:showCatName val="0"/>
          <c:showSerName val="0"/>
          <c:showPercent val="0"/>
          <c:showBubbleSize val="0"/>
        </c:dLbls>
        <c:gapWidth val="164"/>
        <c:overlap val="-22"/>
        <c:axId val="229892864"/>
        <c:axId val="229894400"/>
      </c:barChart>
      <c:catAx>
        <c:axId val="229892864"/>
        <c:scaling>
          <c:orientation val="minMax"/>
        </c:scaling>
        <c:delete val="0"/>
        <c:axPos val="b"/>
        <c:numFmt formatCode="General" sourceLinked="1"/>
        <c:majorTickMark val="none"/>
        <c:minorTickMark val="none"/>
        <c:tickLblPos val="low"/>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894400"/>
        <c:crosses val="autoZero"/>
        <c:auto val="1"/>
        <c:lblAlgn val="ctr"/>
        <c:lblOffset val="100"/>
        <c:noMultiLvlLbl val="0"/>
      </c:catAx>
      <c:valAx>
        <c:axId val="229894400"/>
        <c:scaling>
          <c:orientation val="minMax"/>
        </c:scaling>
        <c:delete val="0"/>
        <c:axPos val="l"/>
        <c:title>
          <c:tx>
            <c:rich>
              <a:bodyPr rot="0" spcFirstLastPara="1" vertOverflow="ellipsis"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b="0">
                    <a:solidFill>
                      <a:sysClr val="windowText" lastClr="000000"/>
                    </a:solidFill>
                  </a:rPr>
                  <a:t>%</a:t>
                </a:r>
              </a:p>
            </c:rich>
          </c:tx>
          <c:layout>
            <c:manualLayout>
              <c:xMode val="edge"/>
              <c:yMode val="edge"/>
              <c:x val="3.5914702581369251E-2"/>
              <c:y val="0.18529055363406677"/>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892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cap="all" spc="150" baseline="0">
              <a:solidFill>
                <a:srgbClr val="00206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Лист1!$B$1</c:f>
              <c:strCache>
                <c:ptCount val="1"/>
                <c:pt idx="0">
                  <c:v>Рівень зайнятості</c:v>
                </c:pt>
              </c:strCache>
            </c:strRef>
          </c:tx>
          <c:spPr>
            <a:solidFill>
              <a:schemeClr val="accent1"/>
            </a:solidFill>
            <a:ln>
              <a:noFill/>
            </a:ln>
            <a:effectLst>
              <a:innerShdw blurRad="114300">
                <a:schemeClr val="accent1"/>
              </a:innerShdw>
            </a:effectLst>
          </c:spPr>
          <c:invertIfNegative val="0"/>
          <c:dPt>
            <c:idx val="3"/>
            <c:invertIfNegative val="0"/>
            <c:bubble3D val="0"/>
            <c:spPr>
              <a:solidFill>
                <a:srgbClr val="FF0000"/>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2-839A-6F41-9722-3C7F02504B7C}"/>
              </c:ext>
            </c:extLst>
          </c:dPt>
          <c:dPt>
            <c:idx val="4"/>
            <c:invertIfNegative val="0"/>
            <c:bubble3D val="0"/>
            <c:spPr>
              <a:solidFill>
                <a:srgbClr val="FF0000"/>
              </a:solidFill>
              <a:ln>
                <a:noFill/>
              </a:ln>
              <a:effectLst>
                <a:innerShdw blurRad="114300">
                  <a:schemeClr val="accent1"/>
                </a:innerShdw>
              </a:effectLst>
            </c:spPr>
            <c:extLst xmlns:c16r2="http://schemas.microsoft.com/office/drawing/2015/06/chart">
              <c:ext xmlns:c16="http://schemas.microsoft.com/office/drawing/2014/chart" uri="{C3380CC4-5D6E-409C-BE32-E72D297353CC}">
                <c16:uniqueId val="{00000000-839A-6F41-9722-3C7F02504B7C}"/>
              </c:ext>
            </c:extLst>
          </c:dPt>
          <c:dLbls>
            <c:dLbl>
              <c:idx val="3"/>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dLbl>
            <c:dLbl>
              <c:idx val="4"/>
              <c:layout>
                <c:manualLayout>
                  <c:x val="-1.6460715194207667E-16"/>
                  <c:y val="1.869158878504672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839A-6F41-9722-3C7F02504B7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Лист1!$A$2:$A$6</c:f>
              <c:strCache>
                <c:ptCount val="5"/>
                <c:pt idx="0">
                  <c:v>Заборона</c:v>
                </c:pt>
                <c:pt idx="1">
                  <c:v>58 євро/т</c:v>
                </c:pt>
                <c:pt idx="2">
                  <c:v>42 євро/т</c:v>
                </c:pt>
                <c:pt idx="3">
                  <c:v>30 євро/т</c:v>
                </c:pt>
                <c:pt idx="4">
                  <c:v>10 євро/т</c:v>
                </c:pt>
              </c:strCache>
            </c:strRef>
          </c:cat>
          <c:val>
            <c:numRef>
              <c:f>Лист1!$B$2:$B$6</c:f>
              <c:numCache>
                <c:formatCode>0.00</c:formatCode>
                <c:ptCount val="5"/>
                <c:pt idx="0" formatCode="General">
                  <c:v>0.19</c:v>
                </c:pt>
                <c:pt idx="1">
                  <c:v>5.6000000000000001E-2</c:v>
                </c:pt>
                <c:pt idx="2">
                  <c:v>0.02</c:v>
                </c:pt>
                <c:pt idx="3">
                  <c:v>-0.01</c:v>
                </c:pt>
                <c:pt idx="4">
                  <c:v>-7.0000000000000007E-2</c:v>
                </c:pt>
              </c:numCache>
            </c:numRef>
          </c:val>
          <c:extLst xmlns:c16r2="http://schemas.microsoft.com/office/drawing/2015/06/chart">
            <c:ext xmlns:c16="http://schemas.microsoft.com/office/drawing/2014/chart" uri="{C3380CC4-5D6E-409C-BE32-E72D297353CC}">
              <c16:uniqueId val="{00000001-839A-6F41-9722-3C7F02504B7C}"/>
            </c:ext>
          </c:extLst>
        </c:ser>
        <c:dLbls>
          <c:showLegendKey val="0"/>
          <c:showVal val="0"/>
          <c:showCatName val="0"/>
          <c:showSerName val="0"/>
          <c:showPercent val="0"/>
          <c:showBubbleSize val="0"/>
        </c:dLbls>
        <c:gapWidth val="164"/>
        <c:overlap val="-22"/>
        <c:axId val="229574528"/>
        <c:axId val="229576064"/>
      </c:barChart>
      <c:catAx>
        <c:axId val="229574528"/>
        <c:scaling>
          <c:orientation val="minMax"/>
        </c:scaling>
        <c:delete val="0"/>
        <c:axPos val="b"/>
        <c:numFmt formatCode="General" sourceLinked="1"/>
        <c:majorTickMark val="none"/>
        <c:minorTickMark val="none"/>
        <c:tickLblPos val="low"/>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576064"/>
        <c:crosses val="autoZero"/>
        <c:auto val="1"/>
        <c:lblAlgn val="ctr"/>
        <c:lblOffset val="100"/>
        <c:noMultiLvlLbl val="0"/>
      </c:catAx>
      <c:valAx>
        <c:axId val="229576064"/>
        <c:scaling>
          <c:orientation val="minMax"/>
        </c:scaling>
        <c:delete val="0"/>
        <c:axPos val="l"/>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b="0">
                    <a:solidFill>
                      <a:sysClr val="windowText" lastClr="000000"/>
                    </a:solidFill>
                  </a:rPr>
                  <a:t>Відсоткові пункти</a:t>
                </a:r>
              </a:p>
            </c:rich>
          </c:tx>
          <c:layout>
            <c:manualLayout>
              <c:xMode val="edge"/>
              <c:yMode val="edge"/>
              <c:x val="3.5914702581369251E-2"/>
              <c:y val="0.18529055363406677"/>
            </c:manualLayout>
          </c:layout>
          <c:overlay val="0"/>
          <c:spPr>
            <a:noFill/>
            <a:ln>
              <a:noFill/>
            </a:ln>
            <a:effectLst/>
          </c:spPr>
        </c:title>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29574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12401</Words>
  <Characters>7069</Characters>
  <Application>Microsoft Office Word</Application>
  <DocSecurity>0</DocSecurity>
  <Lines>58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Сергиенко Анна Геннадиевна</cp:lastModifiedBy>
  <cp:revision>4</cp:revision>
  <cp:lastPrinted>2018-04-03T09:17:00Z</cp:lastPrinted>
  <dcterms:created xsi:type="dcterms:W3CDTF">2019-01-10T14:12:00Z</dcterms:created>
  <dcterms:modified xsi:type="dcterms:W3CDTF">2019-01-16T09:17:00Z</dcterms:modified>
</cp:coreProperties>
</file>