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27E" w:rsidRPr="009A10B5" w:rsidRDefault="0011727E" w:rsidP="00825776">
      <w:pPr>
        <w:spacing w:after="0" w:line="360" w:lineRule="auto"/>
        <w:jc w:val="center"/>
        <w:rPr>
          <w:rFonts w:ascii="Times New Roman" w:hAnsi="Times New Roman"/>
          <w:b/>
          <w:sz w:val="28"/>
          <w:szCs w:val="28"/>
        </w:rPr>
      </w:pPr>
      <w:r w:rsidRPr="009A10B5">
        <w:rPr>
          <w:rFonts w:ascii="Times New Roman" w:hAnsi="Times New Roman"/>
          <w:b/>
          <w:sz w:val="28"/>
          <w:szCs w:val="28"/>
        </w:rPr>
        <w:t>ПОЯСНЮВАЛЬНА ЗАПИСКА</w:t>
      </w:r>
    </w:p>
    <w:p w:rsidR="0011727E" w:rsidRPr="009A10B5" w:rsidRDefault="0011727E" w:rsidP="00825776">
      <w:pPr>
        <w:spacing w:after="0" w:line="360" w:lineRule="auto"/>
        <w:jc w:val="center"/>
        <w:rPr>
          <w:rFonts w:ascii="Times New Roman" w:hAnsi="Times New Roman"/>
          <w:b/>
          <w:sz w:val="28"/>
          <w:szCs w:val="28"/>
        </w:rPr>
      </w:pPr>
      <w:r w:rsidRPr="009A10B5">
        <w:rPr>
          <w:rFonts w:ascii="Times New Roman" w:hAnsi="Times New Roman"/>
          <w:b/>
          <w:sz w:val="28"/>
          <w:szCs w:val="28"/>
        </w:rPr>
        <w:t>до проекту Закону України «Про внесення змін до деяких законів України щодо забезпечення верховенства права у</w:t>
      </w:r>
    </w:p>
    <w:p w:rsidR="0011727E" w:rsidRPr="009A10B5" w:rsidRDefault="0011727E" w:rsidP="00825776">
      <w:pPr>
        <w:spacing w:after="0" w:line="360" w:lineRule="auto"/>
        <w:jc w:val="center"/>
        <w:rPr>
          <w:rFonts w:ascii="Times New Roman" w:hAnsi="Times New Roman"/>
          <w:b/>
          <w:sz w:val="28"/>
          <w:szCs w:val="28"/>
        </w:rPr>
      </w:pPr>
      <w:r w:rsidRPr="009A10B5">
        <w:rPr>
          <w:rFonts w:ascii="Times New Roman" w:hAnsi="Times New Roman"/>
          <w:b/>
          <w:sz w:val="28"/>
          <w:szCs w:val="28"/>
        </w:rPr>
        <w:t>захисті основних прав і свобод людини і громадянина»</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b/>
          <w:sz w:val="28"/>
          <w:szCs w:val="28"/>
        </w:rPr>
        <w:t>1. Обґрунтування необхідності прийняття акта</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shd w:val="clear" w:color="auto" w:fill="FFFFFF"/>
        </w:rPr>
        <w:t xml:space="preserve">На сьогодні принцип верховенства права набув універсального характеру, втілюючись, завдяки відповідним механізмам та юридичним інструментам, на глобальному, регіональному та національному рівнях. </w:t>
      </w:r>
      <w:r w:rsidRPr="009A10B5">
        <w:rPr>
          <w:rFonts w:ascii="Times New Roman" w:hAnsi="Times New Roman"/>
          <w:sz w:val="28"/>
          <w:szCs w:val="28"/>
        </w:rPr>
        <w:t xml:space="preserve">Поняття «верховенства права» проявляється як головна ознака держави у конституціях Албанії, Андорри, Вірменії, Білорусі, Боснії та Герцеговини, Хорватії, Чехії, Естонії, Грузії, Угорщини, Молдови, Чорногорії, Румунії, Сербії, Словаччини, Словенії, Фінляндії, Німеччини, Мальти, Норвегії, Португалії, Іспанії, Швеції, Швейцарії, Туреччини. Україна не стала винятком, уперше закріпивши принцип верховенства права в Основному Законі України як базовий, яким має керуватися суддя при здійсненні судочинства (частина перша статті 129). </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sz w:val="28"/>
          <w:szCs w:val="28"/>
          <w:shd w:val="clear" w:color="auto" w:fill="FFFFFF"/>
        </w:rPr>
        <w:t xml:space="preserve">Будучи фундаментальним фактором для розвитку правової держави та демократичного суспільства, принцип верховенства права закріплений у документах Ради Європи та Європейського Союзу саме як принцип справедливості. Таким чином, </w:t>
      </w:r>
      <w:r w:rsidRPr="009A10B5">
        <w:rPr>
          <w:rFonts w:ascii="Times New Roman" w:hAnsi="Times New Roman"/>
          <w:sz w:val="28"/>
          <w:szCs w:val="28"/>
        </w:rPr>
        <w:t>концепція «the rule of law «(«верховенство права») має місце як на національному, так і на міжнародному рівнях. У документах Ради Європи найважливіші посилання на верховенство права містяться у преамбулі Статуту Ради Європи, яка наголошує на «відданості» держав-членів «духовним та моральним цінностям, що є спільною спадщиною їхніх народів та справжнім джерелом свободи особи, політичної свободи і верховенства права — принципів, що становлять підвалини кожної правдивої демократії».</w:t>
      </w:r>
    </w:p>
    <w:p w:rsidR="0011727E" w:rsidRPr="009A10B5" w:rsidRDefault="0011727E" w:rsidP="00825776">
      <w:pPr>
        <w:spacing w:after="0" w:line="360" w:lineRule="auto"/>
        <w:ind w:firstLine="709"/>
        <w:jc w:val="both"/>
      </w:pPr>
      <w:r w:rsidRPr="009A10B5">
        <w:rPr>
          <w:rFonts w:ascii="Times New Roman" w:hAnsi="Times New Roman"/>
          <w:sz w:val="28"/>
          <w:szCs w:val="28"/>
        </w:rPr>
        <w:t xml:space="preserve">Європейський суд з прав людини (далі – ЄСПЛ) вважає, що верховенство права є концепцією, властивою усім статтям Конвенції та застосовує поняття верховенства права до низки питань, в тому числі – за формальним підходом, починаючи від принципу законності у вузькому сенсі, розвиваючи різні аспекти процесуального характеру щодо справедливої процедури і юридичної визначеності, а також поділу влади та рівності перед законом. У справах Golder v. UK (1975), Philis v. Greece (1991) ЄСПЛ зазначив: «Навряд чи можна осягнути верховенство права за відсутності можливості мати доступ до суду» (параграф 34;59). Що стосується формули «accordance to the law» («відповідність закону»), Суд загалом вимагає лише того, щоб владна дія держави спиралася на юридичну норму. Проте Суд почав наголошувати на тому, що між демократією та верховенством права існує зв’язок, який вимагає, щоб певні дискреційні повноваження держави щодо обмеження прав людини були визначені законом.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Широкий зміст у поняття «верховенство права» було вкладено колишнім Генеральним секретарем ООН Кофі Аннаном. У своїй доповіді 2004 р. він зазначав: «Поняття «верховенство права» має стосунок до принципу врядування, за якого всі люди, інститути та установи, юридичні та фізичні особи, включаючи саму державу, відповідальні перед законами, які в суспільстві є оприлюдненими, застосовуються однаково до всіх і на основі яких здійснюється незалежне судочинство, та які відповідають міжнародним нормам і стандартам у ділянці прав людини. Воно [поняття «верховенство права»] вимагає також заходів на забезпечення дотримання принципів ієрархічної вищості закону, рівності перед законом, відповідальності перед законом, справедливого застосування закону, поділу влади, участі у прийнятті рішень, юридичної визначеності, уникнення свавілля та процесуальної і судової прозорості». </w:t>
      </w:r>
    </w:p>
    <w:p w:rsidR="0011727E" w:rsidRPr="009A10B5" w:rsidRDefault="0011727E" w:rsidP="00825776">
      <w:pPr>
        <w:pStyle w:val="Heading1"/>
        <w:spacing w:before="0" w:beforeAutospacing="0" w:after="0" w:afterAutospacing="0" w:line="360" w:lineRule="auto"/>
        <w:ind w:firstLine="708"/>
        <w:jc w:val="both"/>
        <w:rPr>
          <w:b w:val="0"/>
          <w:bCs w:val="0"/>
          <w:sz w:val="28"/>
          <w:szCs w:val="28"/>
        </w:rPr>
      </w:pPr>
      <w:r w:rsidRPr="009A10B5">
        <w:rPr>
          <w:b w:val="0"/>
          <w:sz w:val="28"/>
          <w:szCs w:val="28"/>
        </w:rPr>
        <w:t xml:space="preserve">Відповідно до Копенгагенського документа (Документ Копенгагенської наради Конференції щодо людського виміру НБСЄ, 1990) «верховенство права не зводиться лише до формальної законності, яка забезпечує правильність та узгодженість процесу творення і впровадження в життя демократичного ладу, а означає також і справедливість, засновану на визнанні та повному сприйнятті людської особи як найвищої цінності та яку гарантовано інститутами, що забезпечують рамки для її якнайповнішого вираження».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Як безпосередньо або опосередковано наголошується у кожному з наведених міжнародних нормативно-правових актів, роль судівництва є вкрай важливою в державі, заснованій на верховенстві права. Судівництво є гарантом справедливості — основоположної цінності у державі, керованій правом. Першочерговим проголошується те, щоб у процесі судівництва було відображено процесуальні можливості визначати, які закони є застосовними щодо конкретної справи, а методологія їх тлумачення мала передбачуваний характер. </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sz w:val="28"/>
          <w:szCs w:val="28"/>
        </w:rPr>
        <w:t xml:space="preserve">Дотримання принципу верховенства права перебуває у тісному взаємозв’язку з забезпеченням права на доступ до правосуддя; на законного і компетентного суддю; на виклад своєї позиції (бути почутим та вислуханим/the right to be heard); на ефективні засоби юридичного захисту в будь-якому спорі (ст. 13 ЄКПЛ); на справедливий суд, або — в англо-американській традиції — принцип природної справедливості чи принцип справедливої (юридичної) процедури.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Нова редакція процесуальних кодексів була орієнтована на зміну підходів у застосуванні принципу верховенства права судами системи судоустрою. Ідеться, зокрема, і про нове повноваження суду </w:t>
      </w:r>
      <w:r w:rsidRPr="009A10B5">
        <w:rPr>
          <w:rFonts w:ascii="Times New Roman" w:hAnsi="Times New Roman"/>
          <w:b/>
          <w:sz w:val="28"/>
          <w:szCs w:val="28"/>
        </w:rPr>
        <w:t>не застосовувати закон, який, як вважає суд, суперечить Конституції</w:t>
      </w:r>
      <w:r w:rsidRPr="009A10B5">
        <w:rPr>
          <w:rFonts w:ascii="Times New Roman" w:hAnsi="Times New Roman"/>
          <w:sz w:val="28"/>
          <w:szCs w:val="28"/>
        </w:rPr>
        <w:t xml:space="preserve">, а застосовувати норми Конституції України як норми прямої дії при розгляді справи по суті із </w:t>
      </w:r>
      <w:r w:rsidRPr="009A10B5">
        <w:rPr>
          <w:rFonts w:ascii="Times New Roman" w:hAnsi="Times New Roman"/>
          <w:b/>
          <w:sz w:val="28"/>
          <w:szCs w:val="28"/>
        </w:rPr>
        <w:t>подальшим обовʼязковим зверненням</w:t>
      </w:r>
      <w:r w:rsidRPr="009A10B5">
        <w:rPr>
          <w:rFonts w:ascii="Times New Roman" w:hAnsi="Times New Roman"/>
          <w:sz w:val="28"/>
          <w:szCs w:val="28"/>
        </w:rPr>
        <w:t xml:space="preserve"> до Верховного Суду (далі – ВС), який на Пленумі має розглянути питання стосовно підтвердження висновку суду нижчого рівня з приводу конституційності/неконституційності норми, не застосованої судом у прийнятому ним рішенні по суті справі.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Така законодавча конструкція по суті представляє собою змішування двох наявних у світі моделей доступу особи до судового конституційного контролю: 1) централізованого (наявність спеціального суду конституційної юрисдикції, до якого може звернутися особа самостійно після вичерпання інших засобів юридичного захисту) та 2) децентралізованого (суд, який розглядає справу, самостійно приймає рішення про незастосування неконституційного закону у звʼязку із відсутністю органу конституційної юрисдикції в державі).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Разом з тим, в Україні повноваженням вирішувати питання про відповідність Конституції законів України наділений згідно ст. 150 Основного Закону України виключно Конституційний Суд України (далі – КСУ).</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Також Пленум ВС не є процесуальним органом, уповноваженим переглядати справу по суті як суд вищого рівня, адже аналізуючи природу конституційності норми права у позапроцесуальний спосіб, </w:t>
      </w:r>
      <w:r w:rsidRPr="009A10B5">
        <w:rPr>
          <w:rFonts w:ascii="Times New Roman" w:hAnsi="Times New Roman"/>
          <w:b/>
          <w:sz w:val="28"/>
          <w:szCs w:val="28"/>
        </w:rPr>
        <w:t>Пленум вдається до переоцінки нормативної основи прийнятого рішення по суті судом нижчого рівня</w:t>
      </w:r>
      <w:r w:rsidRPr="009A10B5">
        <w:rPr>
          <w:rFonts w:ascii="Times New Roman" w:hAnsi="Times New Roman"/>
          <w:sz w:val="28"/>
          <w:szCs w:val="28"/>
        </w:rPr>
        <w:t xml:space="preserve">. У цьому вбачається порушення частини першої статті 129-1 Конституції України – обовʼязковість виконання судового рішення, та прогнозовано може призвести у близькій перспективі до порушення принципу поділу влад (стаття 6 Конституції України) – перебирання Пленумом ВС </w:t>
      </w:r>
      <w:r w:rsidRPr="009A10B5">
        <w:rPr>
          <w:rFonts w:ascii="Times New Roman" w:hAnsi="Times New Roman"/>
          <w:b/>
          <w:sz w:val="28"/>
          <w:szCs w:val="28"/>
        </w:rPr>
        <w:t>конституційної</w:t>
      </w:r>
      <w:r w:rsidRPr="009A10B5">
        <w:rPr>
          <w:rFonts w:ascii="Times New Roman" w:hAnsi="Times New Roman"/>
          <w:sz w:val="28"/>
          <w:szCs w:val="28"/>
        </w:rPr>
        <w:t xml:space="preserve"> </w:t>
      </w:r>
      <w:r w:rsidRPr="009A10B5">
        <w:rPr>
          <w:rFonts w:ascii="Times New Roman" w:hAnsi="Times New Roman"/>
          <w:b/>
          <w:sz w:val="28"/>
          <w:szCs w:val="28"/>
        </w:rPr>
        <w:t>компетенції КСУ</w:t>
      </w:r>
      <w:r w:rsidRPr="009A10B5">
        <w:rPr>
          <w:rFonts w:ascii="Times New Roman" w:hAnsi="Times New Roman"/>
          <w:sz w:val="28"/>
          <w:szCs w:val="28"/>
        </w:rPr>
        <w:t xml:space="preserve"> щодо визнання відповідності/невідповідності законів України Основному Закону України, та, одночасно компетенції суду вищого рівня в частині перегляду справи. Наслідком вбачається послаблення ролі норм Конституції як норм прямої дії.</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Тільки за перший рік дії процесуальних кодексів у новій редакції, у судовій практиці наявні приклади, коли суд під час розгляду справи не застосовує закон як такий, що суперечить Конституції України за висновком суду, </w:t>
      </w:r>
      <w:r w:rsidRPr="009A10B5">
        <w:rPr>
          <w:rFonts w:ascii="Times New Roman" w:hAnsi="Times New Roman"/>
          <w:b/>
          <w:sz w:val="28"/>
          <w:szCs w:val="28"/>
        </w:rPr>
        <w:t xml:space="preserve">однак у подальшому цей суд не звертається до ВС у порушення вимог процесуального законодавства. </w:t>
      </w:r>
      <w:r w:rsidRPr="009A10B5">
        <w:rPr>
          <w:rFonts w:ascii="Times New Roman" w:hAnsi="Times New Roman"/>
          <w:sz w:val="28"/>
          <w:szCs w:val="28"/>
        </w:rPr>
        <w:t>Також містяться приклади незастосування норм Конституції України і звернення до ВС, незважаючи на клопотання сторін у справі, що вказує на ризик повної реанімації принципу законності, а не верховенства права</w:t>
      </w:r>
      <w:r w:rsidRPr="009A10B5">
        <w:rPr>
          <w:rStyle w:val="FootnoteReference"/>
          <w:rFonts w:ascii="Times New Roman" w:hAnsi="Times New Roman"/>
          <w:sz w:val="28"/>
          <w:szCs w:val="28"/>
        </w:rPr>
        <w:footnoteReference w:id="1"/>
      </w:r>
      <w:r w:rsidRPr="009A10B5">
        <w:rPr>
          <w:rFonts w:ascii="Times New Roman" w:hAnsi="Times New Roman"/>
          <w:sz w:val="28"/>
          <w:szCs w:val="28"/>
        </w:rPr>
        <w:t xml:space="preserve">.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Все це свідчить про фактичне посідання судами системи судоустрою загалом, а не тільки Пленумом ВС виключної конституційної компетенції КСУ в частині визнання законів неконституційними, і підкреслює ризик порушення принципів поділу влад, порушення рівноваги системи стримувань і противаг, загального послаблення дії норм Конституції.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Більше того, вказана громіздка процедура звернення до ВС після розгляду справи по суті паралельно із її оскарженням в апеляційному та/або касаційному порядках, внесення відповідного конституційного подання та розгляду конституційної справи КСУ, а також перегляду справи у звʼязку із виключними підставами після перегляду справи у КСУ, не сприяє принципу процесуальної економії при практичній реалізації права на судовий захист, гарантованого статтею 55 Конституції України.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Крім того, КСУ наділений повноваженнями вказати суду у резолютивній частині рішення, що він застосував закон України (його положення), визнаний конституційним, витлумачивши його у спосіб, що не відповідає Конституції України. У разі зміни підходів до звернення судів системи судоустрою до ВС з приводу звернення до КСУ, конституційність закону як виключна підстава для перегляду справи також має бути змінена для коректного ефективного системного застосування норм процесуального права.</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Також в процесі захисту основних прав і свобод людини і громадянина під час реалізації особою права на звернення до КСУ із конституційною скаргою нерідко у ній обґрунтовується клопотання про необхідність видання забезпечувального наказу, як правило з мотивів запобігання незворотнім наслідкам для основних прав і свобод субʼєкта звернення з конституційною скаргою. Загалом інститут попереднього правового захисту (забезпечення позову) цивільного, адміністративного й господарського процесів </w:t>
      </w:r>
      <w:bookmarkStart w:id="0" w:name="_GoBack"/>
      <w:bookmarkEnd w:id="0"/>
      <w:r w:rsidRPr="009A10B5">
        <w:rPr>
          <w:rFonts w:ascii="Times New Roman" w:hAnsi="Times New Roman"/>
          <w:sz w:val="28"/>
          <w:szCs w:val="28"/>
        </w:rPr>
        <w:t xml:space="preserve">здатний дієво впливати на процес створення ефективної моделі судового захисту прав та інтересів осіб. Процедурно позов забезпечує суддя, що розглядає справу і виступає від імені суду.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Утім, у конституційному провадженні субʼєктом, уповноваженим видавати забезпечувальний наказ, виступає виключно Велика палата, на розгляд якої справи за конституційними скаргами передаються лише у випадках: потреба у тлумаченні Конституції та відступ від юридичної позиції, вже висловленої КСУ. Тож, наявне законодавче закріплення інституту забезпечення конституційної скарги фактично нівелює ефективність надважливого інституту, покликаного не допустити скасування основних прав і свобод людини і громадянина чи настання інших негативних незворотних наслідків для суб’єкта звернення з конституційною скаргою і потребує внесення відповідних змін.</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Відтак, аналіз міжнародних нормативно-правових актів у сфері судочинства та практики ЄСПЛ  свідчить про певну несистематизованість регламентації способів реалізації принципу верховенства права у процесуальних нормах. Між тим, основною метою реформи українського судочинства стало відновлення довіри суспільства до судової системи України з метою досягненню належного рівня реалізації принципу верховенства права та забезпечення громадянам права на справедливий суд в Україні. Однак, як демонструють останні дослідження, 79% адвокатів, 65% прокурорів та 49% суддів вважають, що проведена судова реформа в сфері забезпечення організаційно-правових засад реалізації права на справедливий суд не є неефективною.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Таким чином, практичне забезпечення дієвості принципу верховенства права потребує законодавчих змін з метою забезпечення в найближчій перспективі ствердних відповідей на питання, що характеризують стан забезпечення верховенства права в державі, зокрема, про наявність у законах положення про винятки, внаслідок чого виникає можливість застосовувати особливі (індивідуальні) заходи; послідовність практики національних судів; придатність  законодавства для застосування та забезпечення його виконання;  права на справедливий суд та на ефективні засоби юридичного захисту. </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b/>
          <w:sz w:val="28"/>
          <w:szCs w:val="28"/>
        </w:rPr>
        <w:t>2. Цілі і завдання прийняття акта</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Законопроект має на меті забезпечення втілення принципу верховенства права при практичному здійсненні судового захисту основних прав і свобод людини і громадянина.</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b/>
          <w:sz w:val="28"/>
          <w:szCs w:val="28"/>
        </w:rPr>
        <w:t xml:space="preserve">3. Загальна характеристика і основні положення Законопроекту </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Проект Закону України «Про внесення змін до актів законодавства щодо забезпечення верховенства права у захисті основних прав і свобод людини і громадянина» передбачає вдосконалення норм процесуального законодавства та Закону України «Про Конституційний Суд України», якими регламентується  запровадження можливості реалізації ініціативи суду за необхідності конституційного контролю щодо відповідності норми Закону Конституції України, а також усунення законодавчої неоднозначності в частині розмежування повноважень щодо визнання закону неконституційним між судами системи судоустрою та Конституційним Судом України.</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b/>
          <w:sz w:val="28"/>
          <w:szCs w:val="28"/>
        </w:rPr>
        <w:t>4. Стан нормативно-правової бази у даній сфері правового регулювання</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Нормативно-правову базу у даній сфері правового регулювання складають Господарський процесуальний кодекс, Кодекс адміністративного судочинства, Цивільний процесуальний кодекс, Закон України «Про Конституційний Суд України» та інші.</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b/>
          <w:sz w:val="28"/>
          <w:szCs w:val="28"/>
        </w:rPr>
        <w:t>5. Фінансово-економічне обґрунтування</w:t>
      </w:r>
    </w:p>
    <w:p w:rsidR="0011727E" w:rsidRPr="009A10B5"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Реалізація положень даного законопроекту не потребуватиме додаткових видатків з Державного бюджету України.</w:t>
      </w:r>
    </w:p>
    <w:p w:rsidR="0011727E" w:rsidRPr="009A10B5" w:rsidRDefault="0011727E" w:rsidP="00825776">
      <w:pPr>
        <w:spacing w:after="0" w:line="360" w:lineRule="auto"/>
        <w:ind w:firstLine="709"/>
        <w:jc w:val="both"/>
        <w:rPr>
          <w:rFonts w:ascii="Times New Roman" w:hAnsi="Times New Roman"/>
          <w:b/>
          <w:sz w:val="28"/>
          <w:szCs w:val="28"/>
        </w:rPr>
      </w:pPr>
      <w:r w:rsidRPr="009A10B5">
        <w:rPr>
          <w:rFonts w:ascii="Times New Roman" w:hAnsi="Times New Roman"/>
          <w:b/>
          <w:sz w:val="28"/>
          <w:szCs w:val="28"/>
        </w:rPr>
        <w:t>6. Прогноз соціально-економічних, правових та інших наслідків прийняття законопроекту</w:t>
      </w:r>
    </w:p>
    <w:p w:rsidR="0011727E" w:rsidRDefault="0011727E" w:rsidP="00825776">
      <w:pPr>
        <w:spacing w:after="0" w:line="360" w:lineRule="auto"/>
        <w:ind w:firstLine="709"/>
        <w:jc w:val="both"/>
        <w:rPr>
          <w:rFonts w:ascii="Times New Roman" w:hAnsi="Times New Roman"/>
          <w:sz w:val="28"/>
          <w:szCs w:val="28"/>
        </w:rPr>
      </w:pPr>
      <w:r w:rsidRPr="009A10B5">
        <w:rPr>
          <w:rFonts w:ascii="Times New Roman" w:hAnsi="Times New Roman"/>
          <w:sz w:val="28"/>
          <w:szCs w:val="28"/>
        </w:rPr>
        <w:t xml:space="preserve">Прийняття законопроекту дозволить </w:t>
      </w:r>
      <w:r w:rsidRPr="009A10B5">
        <w:rPr>
          <w:rFonts w:ascii="Times New Roman" w:hAnsi="Times New Roman"/>
          <w:sz w:val="28"/>
          <w:szCs w:val="28"/>
          <w:lang w:val="en-US"/>
        </w:rPr>
        <w:t>забезпечити реалізацію принци</w:t>
      </w:r>
      <w:r>
        <w:rPr>
          <w:rFonts w:ascii="Times New Roman" w:hAnsi="Times New Roman"/>
          <w:sz w:val="28"/>
          <w:szCs w:val="28"/>
          <w:lang w:val="en-US"/>
        </w:rPr>
        <w:t xml:space="preserve">пу </w:t>
      </w:r>
      <w:r>
        <w:rPr>
          <w:rFonts w:ascii="Times New Roman" w:hAnsi="Times New Roman"/>
          <w:sz w:val="28"/>
          <w:szCs w:val="28"/>
        </w:rPr>
        <w:t xml:space="preserve">верховенства права як базового при здійсненні правосуддя у справах, нормативна основа в яких потребує конституційного контролю, а також забезпечити </w:t>
      </w:r>
      <w:r w:rsidRPr="009A4ABE">
        <w:rPr>
          <w:rFonts w:ascii="Times New Roman" w:hAnsi="Times New Roman"/>
          <w:sz w:val="28"/>
          <w:szCs w:val="28"/>
        </w:rPr>
        <w:t>ді</w:t>
      </w:r>
      <w:r>
        <w:rPr>
          <w:rFonts w:ascii="Times New Roman" w:hAnsi="Times New Roman"/>
          <w:sz w:val="28"/>
          <w:szCs w:val="28"/>
        </w:rPr>
        <w:t>ю</w:t>
      </w:r>
      <w:r w:rsidRPr="009A4ABE">
        <w:rPr>
          <w:rFonts w:ascii="Times New Roman" w:hAnsi="Times New Roman"/>
          <w:sz w:val="28"/>
          <w:szCs w:val="28"/>
        </w:rPr>
        <w:t xml:space="preserve"> системи стримувань і противаг у поділі влад</w:t>
      </w:r>
      <w:r>
        <w:rPr>
          <w:rFonts w:ascii="Times New Roman" w:hAnsi="Times New Roman"/>
          <w:sz w:val="28"/>
          <w:szCs w:val="28"/>
        </w:rPr>
        <w:t>, що уможливить запобігання їх порушенню, а також сформує підґрунтя для забезпечення застосування норм Основного Закону.</w:t>
      </w:r>
    </w:p>
    <w:p w:rsidR="0011727E" w:rsidRDefault="0011727E" w:rsidP="00825776">
      <w:pPr>
        <w:spacing w:after="0" w:line="360" w:lineRule="auto"/>
        <w:ind w:firstLine="709"/>
        <w:jc w:val="both"/>
        <w:rPr>
          <w:rFonts w:ascii="Times New Roman" w:hAnsi="Times New Roman"/>
          <w:sz w:val="28"/>
          <w:szCs w:val="28"/>
        </w:rPr>
      </w:pPr>
    </w:p>
    <w:p w:rsidR="0011727E" w:rsidRPr="00825776" w:rsidRDefault="0011727E" w:rsidP="00825776">
      <w:pPr>
        <w:spacing w:after="0" w:line="360" w:lineRule="auto"/>
        <w:ind w:firstLine="709"/>
        <w:jc w:val="both"/>
        <w:rPr>
          <w:rFonts w:ascii="Times New Roman" w:hAnsi="Times New Roman"/>
          <w:b/>
          <w:sz w:val="28"/>
          <w:szCs w:val="28"/>
        </w:rPr>
      </w:pPr>
      <w:r w:rsidRPr="00825776">
        <w:rPr>
          <w:rFonts w:ascii="Times New Roman" w:hAnsi="Times New Roman"/>
          <w:b/>
          <w:sz w:val="28"/>
          <w:szCs w:val="28"/>
        </w:rPr>
        <w:t xml:space="preserve">Народний депутат України                   </w:t>
      </w:r>
      <w:r>
        <w:rPr>
          <w:rFonts w:ascii="Times New Roman" w:hAnsi="Times New Roman"/>
          <w:b/>
          <w:sz w:val="28"/>
          <w:szCs w:val="28"/>
        </w:rPr>
        <w:t xml:space="preserve">              </w:t>
      </w:r>
      <w:r w:rsidRPr="00825776">
        <w:rPr>
          <w:rFonts w:ascii="Times New Roman" w:hAnsi="Times New Roman"/>
          <w:b/>
          <w:sz w:val="28"/>
          <w:szCs w:val="28"/>
        </w:rPr>
        <w:t xml:space="preserve">   Андрій ПОМАЗАНОВ</w:t>
      </w:r>
    </w:p>
    <w:p w:rsidR="0011727E" w:rsidRPr="009A4ABE" w:rsidRDefault="0011727E" w:rsidP="00825776">
      <w:pPr>
        <w:spacing w:after="0" w:line="360" w:lineRule="auto"/>
        <w:rPr>
          <w:rFonts w:ascii="Times New Roman" w:hAnsi="Times New Roman"/>
          <w:sz w:val="28"/>
          <w:szCs w:val="28"/>
        </w:rPr>
      </w:pPr>
    </w:p>
    <w:sectPr w:rsidR="0011727E" w:rsidRPr="009A4ABE" w:rsidSect="00825776">
      <w:headerReference w:type="default" r:id="rId7"/>
      <w:pgSz w:w="11906" w:h="16838"/>
      <w:pgMar w:top="761" w:right="851" w:bottom="1134" w:left="141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27E" w:rsidRDefault="0011727E" w:rsidP="00D7657A">
      <w:pPr>
        <w:spacing w:after="0" w:line="240" w:lineRule="auto"/>
      </w:pPr>
      <w:r>
        <w:separator/>
      </w:r>
    </w:p>
  </w:endnote>
  <w:endnote w:type="continuationSeparator" w:id="0">
    <w:p w:rsidR="0011727E" w:rsidRDefault="0011727E" w:rsidP="00D765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27E" w:rsidRDefault="0011727E" w:rsidP="00D7657A">
      <w:pPr>
        <w:spacing w:after="0" w:line="240" w:lineRule="auto"/>
      </w:pPr>
      <w:r>
        <w:separator/>
      </w:r>
    </w:p>
  </w:footnote>
  <w:footnote w:type="continuationSeparator" w:id="0">
    <w:p w:rsidR="0011727E" w:rsidRDefault="0011727E" w:rsidP="00D7657A">
      <w:pPr>
        <w:spacing w:after="0" w:line="240" w:lineRule="auto"/>
      </w:pPr>
      <w:r>
        <w:continuationSeparator/>
      </w:r>
    </w:p>
  </w:footnote>
  <w:footnote w:id="1">
    <w:p w:rsidR="0011727E" w:rsidRDefault="0011727E" w:rsidP="001D0DC6">
      <w:pPr>
        <w:pStyle w:val="FootnoteText"/>
        <w:spacing w:line="240" w:lineRule="auto"/>
      </w:pPr>
      <w:r w:rsidRPr="001D0DC6">
        <w:rPr>
          <w:rStyle w:val="FootnoteReference"/>
          <w:rFonts w:ascii="Times New Roman" w:hAnsi="Times New Roman"/>
        </w:rPr>
        <w:footnoteRef/>
      </w:r>
      <w:r w:rsidRPr="001D0DC6">
        <w:rPr>
          <w:rFonts w:ascii="Times New Roman" w:hAnsi="Times New Roman"/>
        </w:rPr>
        <w:t xml:space="preserve"> </w:t>
      </w:r>
      <w:r w:rsidRPr="001D0DC6">
        <w:rPr>
          <w:rFonts w:ascii="Times New Roman" w:hAnsi="Times New Roman"/>
          <w:bCs/>
          <w:color w:val="000000"/>
        </w:rPr>
        <w:t xml:space="preserve">Ухвала Дніпропетровського апеляційного адміністративного суду від </w:t>
      </w:r>
      <w:r w:rsidRPr="001D0DC6">
        <w:rPr>
          <w:rFonts w:ascii="Times New Roman" w:hAnsi="Times New Roman"/>
          <w:color w:val="000000"/>
        </w:rPr>
        <w:t xml:space="preserve">22 грудня 2017 року справа № 201/15357/17(2-а/201/422/2017). Режим доступу.  </w:t>
      </w:r>
      <w:r w:rsidRPr="001D0DC6">
        <w:rPr>
          <w:rFonts w:ascii="Times New Roman" w:hAnsi="Times New Roman"/>
        </w:rPr>
        <w:t xml:space="preserve">http://reyestr.court.gov.ua/Review/71333259; Судові рішення в адміністративних справах: справа № 295/5863/18. Режим доступу: www.http:\\ reyestr.court.gov.ua/Review/75870005; Судові рішення в адміністративних справах: справа № 806/1856/18. Режим доступу: www.http:\\ reyestr.court.gov.ua/Review/74753549; Судові рішення в адміністративних справах: справа № 1540/4835/18. Режим доступу: www.http:\\ reyestr.court.gov.ua/Review/77017043; Судові рішення в адміністративних справах: справа № 820/2749/18. Режим доступу: www.http:\\ reyestr.court.gov.ua/Review/74572466; Судові рішення в адміністративних справах: справа № 645/4420/17. Режим доступу: www.http:\\ reyestr.court.gov.ua/Review/72783451; справа № 1340/3741/18. Режим доступу: www.http:\\ </w:t>
      </w:r>
      <w:r w:rsidRPr="009A10B5">
        <w:rPr>
          <w:rFonts w:ascii="Times New Roman" w:hAnsi="Times New Roman"/>
          <w:sz w:val="18"/>
          <w:szCs w:val="18"/>
        </w:rPr>
        <w:t>reyestr.court.gov.ua/Review/76385909; справа № 806/2868/18. Режим доступу: www.http:\\ reyestr.court.gov.ua/Review/76026507; справа № 813/1194/18. Режим доступу: www.http:\\ reyestr.court.gov.ua/Review/75225384; справа № 805/3764/18-а. Режим доступу: www.http:\\ reyestr.court.gov.ua/Review/75797582; справа № 806/1856/18. Режим доступу: www.http:\\ reyestr.court.gov.ua/Review/74753549; справа № 645/4723/17. Режим доступу: www.http:\\ reyestr.court.gov.ua/Review/71665875; справа № 645/4446/17. Режим доступу: www.http:\\ reyestr.court.gov.ua/Review/71665398; справа № 645/4419/17. Режим доступу: www.http:\\ reyestr.court.gov.ua/Review/71637181; справа № 645/4442/17. Режим доступу: www.http:\\ reyestr.court.gov.ua/Review/71665447; Судові рішення у справах: цивільна справа № 311/2826/17. Режим доступу: www.http:\\ reyestr.court.gov.ua/Review/7149343; адміністративна справа № 752/275/17. Режим доступу: www.http:\\ reyestr.court.gov.ua/Review/75604861; адміністративна справа № 826/4634/18. Режим доступу: www.http:\\ reyestr.court.gov.ua/Review/74097415; адміністративна справа № 820/2695/18. Режим доступу: www.http:\\ reyestr.court.gov.ua/Review/74782796; Судові рішення у справах: цивільна справа № 311/2826/17. Режим доступу: www.http:\\ reyestr.court.gov.ua/Review/7149343; Судові рішення у справах: цивільна справа № 311/2826/17. Режим доступу: www.http:\\ reyestr.court.gov.ua/Review/7149343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27E" w:rsidRDefault="0011727E">
    <w:pPr>
      <w:pStyle w:val="Header"/>
      <w:jc w:val="right"/>
    </w:pPr>
    <w:fldSimple w:instr="PAGE   \* MERGEFORMAT">
      <w:r>
        <w:rPr>
          <w:noProof/>
        </w:rPr>
        <w:t>8</w:t>
      </w:r>
    </w:fldSimple>
  </w:p>
  <w:p w:rsidR="0011727E" w:rsidRDefault="0011727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E38AC"/>
    <w:multiLevelType w:val="hybridMultilevel"/>
    <w:tmpl w:val="8FD21452"/>
    <w:lvl w:ilvl="0" w:tplc="F2180D7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
    <w:nsid w:val="10B949FF"/>
    <w:multiLevelType w:val="hybridMultilevel"/>
    <w:tmpl w:val="6C124CD8"/>
    <w:lvl w:ilvl="0" w:tplc="AA0872C4">
      <w:start w:val="1"/>
      <w:numFmt w:val="decimal"/>
      <w:lvlText w:val="%1)"/>
      <w:lvlJc w:val="left"/>
      <w:pPr>
        <w:ind w:left="720" w:hanging="360"/>
      </w:pPr>
      <w:rPr>
        <w:rFonts w:cs="Times New Roman" w:hint="default"/>
        <w:sz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1AED34B1"/>
    <w:multiLevelType w:val="hybridMultilevel"/>
    <w:tmpl w:val="FABC9B70"/>
    <w:lvl w:ilvl="0" w:tplc="FD7E9664">
      <w:start w:val="1"/>
      <w:numFmt w:val="decimal"/>
      <w:lvlText w:val="%1)"/>
      <w:lvlJc w:val="left"/>
      <w:pPr>
        <w:ind w:left="720" w:hanging="360"/>
      </w:pPr>
      <w:rPr>
        <w:rFonts w:cs="Times New Roman" w:hint="default"/>
        <w:sz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2A681652"/>
    <w:multiLevelType w:val="hybridMultilevel"/>
    <w:tmpl w:val="B85C39E8"/>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2BA053D7"/>
    <w:multiLevelType w:val="hybridMultilevel"/>
    <w:tmpl w:val="F3023F0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326503AE"/>
    <w:multiLevelType w:val="hybridMultilevel"/>
    <w:tmpl w:val="7EAC0B1A"/>
    <w:lvl w:ilvl="0" w:tplc="0419000F">
      <w:start w:val="1"/>
      <w:numFmt w:val="decimal"/>
      <w:lvlText w:val="%1."/>
      <w:lvlJc w:val="left"/>
      <w:pPr>
        <w:tabs>
          <w:tab w:val="num" w:pos="720"/>
        </w:tabs>
        <w:ind w:left="720" w:hanging="360"/>
      </w:pPr>
      <w:rPr>
        <w:rFonts w:cs="Times New Roman" w:hint="default"/>
      </w:rPr>
    </w:lvl>
    <w:lvl w:ilvl="1" w:tplc="2674723E">
      <w:start w:val="3"/>
      <w:numFmt w:val="bullet"/>
      <w:lvlText w:val="–"/>
      <w:lvlJc w:val="left"/>
      <w:pPr>
        <w:tabs>
          <w:tab w:val="num" w:pos="1470"/>
        </w:tabs>
        <w:ind w:left="1470" w:hanging="390"/>
      </w:pPr>
      <w:rPr>
        <w:rFonts w:ascii="Times New Roman" w:eastAsia="Times New Roman" w:hAnsi="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BCC05F9"/>
    <w:multiLevelType w:val="hybridMultilevel"/>
    <w:tmpl w:val="3558DB8C"/>
    <w:lvl w:ilvl="0" w:tplc="BE7405BC">
      <w:start w:val="1"/>
      <w:numFmt w:val="decimal"/>
      <w:lvlText w:val="%1."/>
      <w:lvlJc w:val="left"/>
      <w:pPr>
        <w:ind w:left="780" w:hanging="42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5C80604D"/>
    <w:multiLevelType w:val="hybridMultilevel"/>
    <w:tmpl w:val="4F5A83E2"/>
    <w:lvl w:ilvl="0" w:tplc="B2ECA22E">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8">
    <w:nsid w:val="620768C2"/>
    <w:multiLevelType w:val="hybridMultilevel"/>
    <w:tmpl w:val="6F0ED7E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nsid w:val="77CF176D"/>
    <w:multiLevelType w:val="hybridMultilevel"/>
    <w:tmpl w:val="93D26190"/>
    <w:lvl w:ilvl="0" w:tplc="FAD209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num>
  <w:num w:numId="2">
    <w:abstractNumId w:val="4"/>
  </w:num>
  <w:num w:numId="3">
    <w:abstractNumId w:val="6"/>
  </w:num>
  <w:num w:numId="4">
    <w:abstractNumId w:val="9"/>
  </w:num>
  <w:num w:numId="5">
    <w:abstractNumId w:val="7"/>
  </w:num>
  <w:num w:numId="6">
    <w:abstractNumId w:val="3"/>
  </w:num>
  <w:num w:numId="7">
    <w:abstractNumId w:val="2"/>
  </w:num>
  <w:num w:numId="8">
    <w:abstractNumId w:val="1"/>
  </w:num>
  <w:num w:numId="9">
    <w:abstractNumId w:val="5"/>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60F4"/>
    <w:rsid w:val="00002A88"/>
    <w:rsid w:val="0003222F"/>
    <w:rsid w:val="00046A12"/>
    <w:rsid w:val="00075531"/>
    <w:rsid w:val="0011727E"/>
    <w:rsid w:val="001353C3"/>
    <w:rsid w:val="00181774"/>
    <w:rsid w:val="001B20A1"/>
    <w:rsid w:val="001C7ADA"/>
    <w:rsid w:val="001D0DC6"/>
    <w:rsid w:val="00253CAF"/>
    <w:rsid w:val="002660F4"/>
    <w:rsid w:val="00283C28"/>
    <w:rsid w:val="002A4302"/>
    <w:rsid w:val="002B48A4"/>
    <w:rsid w:val="002C1BFD"/>
    <w:rsid w:val="002D7B79"/>
    <w:rsid w:val="00334FB1"/>
    <w:rsid w:val="0035237E"/>
    <w:rsid w:val="00353E0A"/>
    <w:rsid w:val="00395AF4"/>
    <w:rsid w:val="00397441"/>
    <w:rsid w:val="003B7508"/>
    <w:rsid w:val="003C418C"/>
    <w:rsid w:val="003D2A71"/>
    <w:rsid w:val="003F5472"/>
    <w:rsid w:val="0045330F"/>
    <w:rsid w:val="00491103"/>
    <w:rsid w:val="004F3A89"/>
    <w:rsid w:val="005029F9"/>
    <w:rsid w:val="0051277A"/>
    <w:rsid w:val="005306F3"/>
    <w:rsid w:val="00542E00"/>
    <w:rsid w:val="005C1909"/>
    <w:rsid w:val="005F2D70"/>
    <w:rsid w:val="005F78F5"/>
    <w:rsid w:val="006319D0"/>
    <w:rsid w:val="006346B2"/>
    <w:rsid w:val="00634CA3"/>
    <w:rsid w:val="00654F98"/>
    <w:rsid w:val="00671379"/>
    <w:rsid w:val="00681C57"/>
    <w:rsid w:val="0068370A"/>
    <w:rsid w:val="006B4CC7"/>
    <w:rsid w:val="006D74E7"/>
    <w:rsid w:val="00734A2A"/>
    <w:rsid w:val="007666E2"/>
    <w:rsid w:val="007C7027"/>
    <w:rsid w:val="007F06CD"/>
    <w:rsid w:val="00820B01"/>
    <w:rsid w:val="00825776"/>
    <w:rsid w:val="00834A51"/>
    <w:rsid w:val="008353EE"/>
    <w:rsid w:val="0087118B"/>
    <w:rsid w:val="0087704E"/>
    <w:rsid w:val="00895066"/>
    <w:rsid w:val="008B4AF1"/>
    <w:rsid w:val="0092010E"/>
    <w:rsid w:val="00932EEA"/>
    <w:rsid w:val="00946C76"/>
    <w:rsid w:val="00953005"/>
    <w:rsid w:val="009A10B5"/>
    <w:rsid w:val="009A4ABE"/>
    <w:rsid w:val="009B4674"/>
    <w:rsid w:val="009D07A4"/>
    <w:rsid w:val="009D69B0"/>
    <w:rsid w:val="009F060E"/>
    <w:rsid w:val="00A41A24"/>
    <w:rsid w:val="00AF7464"/>
    <w:rsid w:val="00B108A4"/>
    <w:rsid w:val="00B21C7D"/>
    <w:rsid w:val="00B303D9"/>
    <w:rsid w:val="00B338F6"/>
    <w:rsid w:val="00B52D35"/>
    <w:rsid w:val="00B712A5"/>
    <w:rsid w:val="00B83F4A"/>
    <w:rsid w:val="00BB6D2D"/>
    <w:rsid w:val="00C7055C"/>
    <w:rsid w:val="00CB37CF"/>
    <w:rsid w:val="00CC20AD"/>
    <w:rsid w:val="00CC28C0"/>
    <w:rsid w:val="00CF2E7C"/>
    <w:rsid w:val="00D04B07"/>
    <w:rsid w:val="00D13974"/>
    <w:rsid w:val="00D452FF"/>
    <w:rsid w:val="00D71D83"/>
    <w:rsid w:val="00D7657A"/>
    <w:rsid w:val="00DD3B39"/>
    <w:rsid w:val="00E210C2"/>
    <w:rsid w:val="00E57273"/>
    <w:rsid w:val="00E60FC9"/>
    <w:rsid w:val="00E62928"/>
    <w:rsid w:val="00E91A1F"/>
    <w:rsid w:val="00EC592F"/>
    <w:rsid w:val="00EF0C8E"/>
    <w:rsid w:val="00F15C8E"/>
    <w:rsid w:val="00F2238F"/>
    <w:rsid w:val="00F37678"/>
    <w:rsid w:val="00F54454"/>
    <w:rsid w:val="00F76FCD"/>
    <w:rsid w:val="00FC4FAC"/>
    <w:rsid w:val="00FE1DA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0F4"/>
    <w:pPr>
      <w:spacing w:after="200" w:line="276" w:lineRule="auto"/>
    </w:pPr>
    <w:rPr>
      <w:rFonts w:ascii="Calibri" w:hAnsi="Calibri"/>
      <w:lang w:eastAsia="en-US"/>
    </w:rPr>
  </w:style>
  <w:style w:type="paragraph" w:styleId="Heading1">
    <w:name w:val="heading 1"/>
    <w:basedOn w:val="Normal"/>
    <w:link w:val="Heading1Char"/>
    <w:uiPriority w:val="99"/>
    <w:qFormat/>
    <w:locked/>
    <w:rsid w:val="00EF0C8E"/>
    <w:pPr>
      <w:spacing w:before="100" w:beforeAutospacing="1" w:after="100" w:afterAutospacing="1" w:line="240" w:lineRule="auto"/>
      <w:outlineLvl w:val="0"/>
    </w:pPr>
    <w:rPr>
      <w:rFonts w:ascii="Times New Roman" w:hAnsi="Times New Roman"/>
      <w:b/>
      <w:bCs/>
      <w:kern w:val="36"/>
      <w:sz w:val="48"/>
      <w:szCs w:val="48"/>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15C8E"/>
    <w:rPr>
      <w:rFonts w:ascii="Cambria" w:hAnsi="Cambria" w:cs="Times New Roman"/>
      <w:b/>
      <w:bCs/>
      <w:kern w:val="32"/>
      <w:sz w:val="32"/>
      <w:szCs w:val="32"/>
      <w:lang w:eastAsia="en-US"/>
    </w:rPr>
  </w:style>
  <w:style w:type="paragraph" w:styleId="ListParagraph">
    <w:name w:val="List Paragraph"/>
    <w:basedOn w:val="Normal"/>
    <w:uiPriority w:val="99"/>
    <w:qFormat/>
    <w:rsid w:val="002660F4"/>
    <w:pPr>
      <w:ind w:left="720"/>
      <w:contextualSpacing/>
    </w:pPr>
  </w:style>
  <w:style w:type="paragraph" w:customStyle="1" w:styleId="StyleZakonu">
    <w:name w:val="StyleZakonu"/>
    <w:basedOn w:val="Normal"/>
    <w:link w:val="StyleZakonu0"/>
    <w:uiPriority w:val="99"/>
    <w:rsid w:val="006B4CC7"/>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uiPriority w:val="99"/>
    <w:locked/>
    <w:rsid w:val="006B4CC7"/>
    <w:rPr>
      <w:rFonts w:eastAsia="Times New Roman"/>
      <w:sz w:val="20"/>
      <w:lang w:eastAsia="ru-RU"/>
    </w:rPr>
  </w:style>
  <w:style w:type="paragraph" w:customStyle="1" w:styleId="a">
    <w:name w:val="Нормальний текст"/>
    <w:basedOn w:val="Normal"/>
    <w:uiPriority w:val="99"/>
    <w:rsid w:val="00A41A24"/>
    <w:pPr>
      <w:spacing w:before="120" w:after="0" w:line="240" w:lineRule="auto"/>
      <w:ind w:firstLine="567"/>
      <w:jc w:val="both"/>
    </w:pPr>
    <w:rPr>
      <w:rFonts w:ascii="Antiqua" w:eastAsia="Times New Roman" w:hAnsi="Antiqua" w:cs="Antiqua"/>
      <w:sz w:val="26"/>
      <w:szCs w:val="26"/>
      <w:lang w:eastAsia="ru-RU"/>
    </w:rPr>
  </w:style>
  <w:style w:type="paragraph" w:styleId="FootnoteText">
    <w:name w:val="footnote text"/>
    <w:aliases w:val="Текст сноски Знак1,Текст сноски Знак Знак,Текст сноски Знак1 Знак Знак,Текст сноски Знак Знак Знак Знак,Текст сноски Знак Знак Знак Знак Знак Знак Знак Знак Знак Знак,Текст сноски Знак Знак Знак Знак Знак Знак1 Знак Знак Знак,Знак Знак"/>
    <w:basedOn w:val="Normal"/>
    <w:link w:val="FootnoteTextChar"/>
    <w:uiPriority w:val="99"/>
    <w:rsid w:val="00D7657A"/>
    <w:pPr>
      <w:spacing w:after="0" w:line="360" w:lineRule="auto"/>
      <w:ind w:firstLine="851"/>
      <w:jc w:val="both"/>
    </w:pPr>
    <w:rPr>
      <w:rFonts w:eastAsia="Times New Roman"/>
      <w:sz w:val="20"/>
      <w:szCs w:val="20"/>
    </w:rPr>
  </w:style>
  <w:style w:type="character" w:customStyle="1" w:styleId="FootnoteTextChar">
    <w:name w:val="Footnote Text Char"/>
    <w:aliases w:val="Текст сноски Знак1 Char,Текст сноски Знак Знак Char,Текст сноски Знак1 Знак Знак Char,Текст сноски Знак Знак Знак Знак Char,Текст сноски Знак Знак Знак Знак Знак Знак Знак Знак Знак Знак Char,Знак Знак Char"/>
    <w:basedOn w:val="DefaultParagraphFont"/>
    <w:link w:val="FootnoteText"/>
    <w:uiPriority w:val="99"/>
    <w:locked/>
    <w:rsid w:val="00D7657A"/>
    <w:rPr>
      <w:rFonts w:ascii="Calibri" w:hAnsi="Calibri" w:cs="Times New Roman"/>
      <w:sz w:val="20"/>
      <w:szCs w:val="20"/>
    </w:rPr>
  </w:style>
  <w:style w:type="character" w:styleId="FootnoteReference">
    <w:name w:val="footnote reference"/>
    <w:basedOn w:val="DefaultParagraphFont"/>
    <w:uiPriority w:val="99"/>
    <w:semiHidden/>
    <w:rsid w:val="00D7657A"/>
    <w:rPr>
      <w:rFonts w:cs="Times New Roman"/>
      <w:vertAlign w:val="superscript"/>
    </w:rPr>
  </w:style>
  <w:style w:type="character" w:customStyle="1" w:styleId="2">
    <w:name w:val="Основной текст (2)"/>
    <w:uiPriority w:val="99"/>
    <w:rsid w:val="00D7657A"/>
    <w:rPr>
      <w:color w:val="000000"/>
      <w:spacing w:val="0"/>
      <w:w w:val="100"/>
      <w:position w:val="0"/>
      <w:sz w:val="22"/>
    </w:rPr>
  </w:style>
  <w:style w:type="paragraph" w:styleId="NormalWeb">
    <w:name w:val="Normal (Web)"/>
    <w:basedOn w:val="Normal"/>
    <w:uiPriority w:val="99"/>
    <w:rsid w:val="00D04B07"/>
    <w:pPr>
      <w:spacing w:before="100" w:beforeAutospacing="1" w:after="100" w:afterAutospacing="1" w:line="240" w:lineRule="auto"/>
    </w:pPr>
    <w:rPr>
      <w:rFonts w:ascii="Times New Roman" w:eastAsia="Times New Roman" w:hAnsi="Times New Roman"/>
      <w:sz w:val="24"/>
      <w:szCs w:val="24"/>
      <w:lang w:val="ru-RU" w:eastAsia="ru-RU"/>
    </w:rPr>
  </w:style>
  <w:style w:type="table" w:styleId="TableGrid">
    <w:name w:val="Table Grid"/>
    <w:basedOn w:val="TableNormal"/>
    <w:uiPriority w:val="99"/>
    <w:rsid w:val="0051277A"/>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34A2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734A2A"/>
    <w:rPr>
      <w:rFonts w:ascii="Calibri" w:hAnsi="Calibri" w:cs="Times New Roman"/>
      <w:sz w:val="22"/>
      <w:szCs w:val="22"/>
    </w:rPr>
  </w:style>
  <w:style w:type="paragraph" w:styleId="Footer">
    <w:name w:val="footer"/>
    <w:basedOn w:val="Normal"/>
    <w:link w:val="FooterChar"/>
    <w:uiPriority w:val="99"/>
    <w:rsid w:val="00734A2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734A2A"/>
    <w:rPr>
      <w:rFonts w:ascii="Calibri" w:hAnsi="Calibri" w:cs="Times New Roman"/>
      <w:sz w:val="22"/>
      <w:szCs w:val="22"/>
    </w:rPr>
  </w:style>
  <w:style w:type="paragraph" w:styleId="BalloonText">
    <w:name w:val="Balloon Text"/>
    <w:basedOn w:val="Normal"/>
    <w:link w:val="BalloonTextChar"/>
    <w:uiPriority w:val="99"/>
    <w:semiHidden/>
    <w:rsid w:val="009530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53005"/>
    <w:rPr>
      <w:rFonts w:ascii="Segoe UI" w:hAnsi="Segoe UI" w:cs="Segoe UI"/>
      <w:sz w:val="18"/>
      <w:szCs w:val="18"/>
    </w:rPr>
  </w:style>
  <w:style w:type="paragraph" w:styleId="HTMLPreformatted">
    <w:name w:val="HTML Preformatted"/>
    <w:basedOn w:val="Normal"/>
    <w:link w:val="HTMLPreformattedChar"/>
    <w:uiPriority w:val="99"/>
    <w:rsid w:val="00895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locked/>
    <w:rsid w:val="00895066"/>
    <w:rPr>
      <w:rFonts w:ascii="Courier New" w:hAnsi="Courier New" w:cs="Courier New"/>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7784559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827</TotalTime>
  <Pages>8</Pages>
  <Words>8529</Words>
  <Characters>4863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Е. Берестова</dc:creator>
  <cp:keywords/>
  <dc:description/>
  <cp:lastModifiedBy>Deputat</cp:lastModifiedBy>
  <cp:revision>36</cp:revision>
  <cp:lastPrinted>2019-02-15T08:32:00Z</cp:lastPrinted>
  <dcterms:created xsi:type="dcterms:W3CDTF">2019-01-24T05:52:00Z</dcterms:created>
  <dcterms:modified xsi:type="dcterms:W3CDTF">2019-02-15T08:34:00Z</dcterms:modified>
</cp:coreProperties>
</file>