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B82" w:rsidRPr="007E4779" w:rsidRDefault="00D80B82" w:rsidP="00D80B8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E4779">
        <w:rPr>
          <w:rFonts w:ascii="Times New Roman" w:hAnsi="Times New Roman"/>
          <w:b/>
          <w:sz w:val="28"/>
          <w:szCs w:val="28"/>
          <w:lang w:val="uk-UA"/>
        </w:rPr>
        <w:t>Порівняльна таблиця до проекту Закону України</w:t>
      </w:r>
    </w:p>
    <w:p w:rsidR="00D80B82" w:rsidRPr="007E4779" w:rsidRDefault="00D80B82" w:rsidP="0020778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7E4779">
        <w:rPr>
          <w:rFonts w:ascii="Times New Roman" w:hAnsi="Times New Roman"/>
          <w:b/>
          <w:sz w:val="28"/>
          <w:szCs w:val="28"/>
          <w:lang w:val="uk-UA"/>
        </w:rPr>
        <w:t xml:space="preserve">«Про внесення змін до Податкового кодексу України </w:t>
      </w:r>
      <w:r w:rsidR="00207780" w:rsidRPr="007E477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у зв’язку зі змінами законодавства про освіту</w:t>
      </w:r>
      <w:r w:rsidRPr="007E4779">
        <w:rPr>
          <w:rFonts w:ascii="Times New Roman" w:hAnsi="Times New Roman"/>
          <w:b/>
          <w:sz w:val="28"/>
          <w:szCs w:val="28"/>
          <w:lang w:val="uk-UA"/>
        </w:rPr>
        <w:t>»</w:t>
      </w:r>
    </w:p>
    <w:tbl>
      <w:tblPr>
        <w:tblStyle w:val="a3"/>
        <w:tblpPr w:leftFromText="180" w:rightFromText="180" w:horzAnchor="margin" w:tblpY="1289"/>
        <w:tblW w:w="14850" w:type="dxa"/>
        <w:tblLook w:val="04A0" w:firstRow="1" w:lastRow="0" w:firstColumn="1" w:lastColumn="0" w:noHBand="0" w:noVBand="1"/>
      </w:tblPr>
      <w:tblGrid>
        <w:gridCol w:w="7054"/>
        <w:gridCol w:w="7796"/>
      </w:tblGrid>
      <w:tr w:rsidR="00D80B82" w:rsidRPr="00D80B82" w:rsidTr="00D80B82">
        <w:tc>
          <w:tcPr>
            <w:tcW w:w="7054" w:type="dxa"/>
            <w:shd w:val="clear" w:color="auto" w:fill="auto"/>
          </w:tcPr>
          <w:p w:rsidR="00D80B82" w:rsidRPr="00D80B82" w:rsidRDefault="00D80B82" w:rsidP="00D80B82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80B82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Чинна норма</w:t>
            </w:r>
          </w:p>
        </w:tc>
        <w:tc>
          <w:tcPr>
            <w:tcW w:w="7796" w:type="dxa"/>
          </w:tcPr>
          <w:p w:rsidR="00D80B82" w:rsidRPr="00D80B82" w:rsidRDefault="00D80B82" w:rsidP="00D80B82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80B82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Нова норма</w:t>
            </w:r>
          </w:p>
        </w:tc>
      </w:tr>
      <w:tr w:rsidR="00D80B82" w:rsidRPr="00D80B82" w:rsidTr="00D80B82">
        <w:tc>
          <w:tcPr>
            <w:tcW w:w="14850" w:type="dxa"/>
            <w:gridSpan w:val="2"/>
            <w:shd w:val="clear" w:color="auto" w:fill="auto"/>
          </w:tcPr>
          <w:p w:rsidR="00D80B82" w:rsidRPr="00D80B82" w:rsidRDefault="00D80B82" w:rsidP="00D80B82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80B8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1) </w:t>
            </w:r>
            <w:r w:rsidRPr="00D80B82">
              <w:rPr>
                <w:color w:val="000000"/>
                <w:sz w:val="28"/>
                <w:szCs w:val="28"/>
                <w:shd w:val="clear" w:color="auto" w:fill="FFFFFF"/>
              </w:rPr>
              <w:t>Внести до</w:t>
            </w:r>
            <w:hyperlink r:id="rId4" w:tgtFrame="_blank" w:history="1">
              <w:r w:rsidRPr="00D80B82">
                <w:rPr>
                  <w:rStyle w:val="a4"/>
                  <w:color w:val="000099"/>
                  <w:sz w:val="28"/>
                  <w:szCs w:val="28"/>
                  <w:shd w:val="clear" w:color="auto" w:fill="FFFFFF"/>
                </w:rPr>
                <w:t> </w:t>
              </w:r>
              <w:proofErr w:type="spellStart"/>
              <w:r w:rsidRPr="00D80B82">
                <w:rPr>
                  <w:rStyle w:val="a4"/>
                  <w:color w:val="000099"/>
                  <w:sz w:val="28"/>
                  <w:szCs w:val="28"/>
                  <w:shd w:val="clear" w:color="auto" w:fill="FFFFFF"/>
                </w:rPr>
                <w:t>Податкового</w:t>
              </w:r>
              <w:proofErr w:type="spellEnd"/>
              <w:r w:rsidRPr="00D80B82">
                <w:rPr>
                  <w:rStyle w:val="a4"/>
                  <w:color w:val="000099"/>
                  <w:sz w:val="28"/>
                  <w:szCs w:val="28"/>
                  <w:shd w:val="clear" w:color="auto" w:fill="FFFFFF"/>
                </w:rPr>
                <w:t xml:space="preserve"> кодексу </w:t>
              </w:r>
              <w:proofErr w:type="spellStart"/>
              <w:r w:rsidRPr="00D80B82">
                <w:rPr>
                  <w:rStyle w:val="a4"/>
                  <w:color w:val="000099"/>
                  <w:sz w:val="28"/>
                  <w:szCs w:val="28"/>
                  <w:shd w:val="clear" w:color="auto" w:fill="FFFFFF"/>
                </w:rPr>
                <w:t>України</w:t>
              </w:r>
              <w:proofErr w:type="spellEnd"/>
            </w:hyperlink>
            <w:r w:rsidRPr="00D80B82">
              <w:rPr>
                <w:color w:val="000000"/>
                <w:sz w:val="28"/>
                <w:szCs w:val="28"/>
                <w:shd w:val="clear" w:color="auto" w:fill="FFFFFF"/>
              </w:rPr>
              <w:t> (</w:t>
            </w:r>
            <w:proofErr w:type="spellStart"/>
            <w:r w:rsidRPr="00D80B82">
              <w:rPr>
                <w:color w:val="000000"/>
                <w:sz w:val="28"/>
                <w:szCs w:val="28"/>
                <w:shd w:val="clear" w:color="auto" w:fill="FFFFFF"/>
              </w:rPr>
              <w:t>Відомості</w:t>
            </w:r>
            <w:proofErr w:type="spellEnd"/>
            <w:r w:rsidRPr="00D80B82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D80B82">
              <w:rPr>
                <w:color w:val="000000"/>
                <w:sz w:val="28"/>
                <w:szCs w:val="28"/>
                <w:shd w:val="clear" w:color="auto" w:fill="FFFFFF"/>
              </w:rPr>
              <w:t>Верховної</w:t>
            </w:r>
            <w:proofErr w:type="spellEnd"/>
            <w:r w:rsidRPr="00D80B82">
              <w:rPr>
                <w:color w:val="000000"/>
                <w:sz w:val="28"/>
                <w:szCs w:val="28"/>
                <w:shd w:val="clear" w:color="auto" w:fill="FFFFFF"/>
              </w:rPr>
              <w:t xml:space="preserve"> Ради </w:t>
            </w:r>
            <w:proofErr w:type="spellStart"/>
            <w:r w:rsidRPr="00D80B82">
              <w:rPr>
                <w:color w:val="000000"/>
                <w:sz w:val="28"/>
                <w:szCs w:val="28"/>
                <w:shd w:val="clear" w:color="auto" w:fill="FFFFFF"/>
              </w:rPr>
              <w:t>України</w:t>
            </w:r>
            <w:proofErr w:type="spellEnd"/>
            <w:r w:rsidRPr="00D80B82">
              <w:rPr>
                <w:color w:val="000000"/>
                <w:sz w:val="28"/>
                <w:szCs w:val="28"/>
                <w:shd w:val="clear" w:color="auto" w:fill="FFFFFF"/>
              </w:rPr>
              <w:t xml:space="preserve">, 2011 р., №№ 13-17, ст. 112) </w:t>
            </w:r>
            <w:proofErr w:type="spellStart"/>
            <w:r w:rsidRPr="00D80B82">
              <w:rPr>
                <w:color w:val="000000"/>
                <w:sz w:val="28"/>
                <w:szCs w:val="28"/>
                <w:shd w:val="clear" w:color="auto" w:fill="FFFFFF"/>
              </w:rPr>
              <w:t>такі</w:t>
            </w:r>
            <w:proofErr w:type="spellEnd"/>
            <w:r w:rsidRPr="00D80B82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D80B82">
              <w:rPr>
                <w:color w:val="000000"/>
                <w:sz w:val="28"/>
                <w:szCs w:val="28"/>
                <w:shd w:val="clear" w:color="auto" w:fill="FFFFFF"/>
              </w:rPr>
              <w:t>зміни</w:t>
            </w:r>
            <w:proofErr w:type="spellEnd"/>
            <w:r w:rsidRPr="00D80B82">
              <w:rPr>
                <w:color w:val="000000"/>
                <w:sz w:val="28"/>
                <w:szCs w:val="28"/>
                <w:shd w:val="clear" w:color="auto" w:fill="FFFFFF"/>
              </w:rPr>
              <w:t>:</w:t>
            </w:r>
          </w:p>
        </w:tc>
      </w:tr>
      <w:tr w:rsidR="00D80B82" w:rsidRPr="00D80B82" w:rsidTr="00D80B82">
        <w:tc>
          <w:tcPr>
            <w:tcW w:w="14850" w:type="dxa"/>
            <w:gridSpan w:val="2"/>
            <w:shd w:val="clear" w:color="auto" w:fill="auto"/>
          </w:tcPr>
          <w:p w:rsidR="00D80B82" w:rsidRPr="00D80B82" w:rsidRDefault="00D80B82" w:rsidP="00D80B82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iCs/>
                <w:color w:val="000000"/>
                <w:sz w:val="28"/>
                <w:szCs w:val="28"/>
                <w:lang w:val="uk-UA"/>
              </w:rPr>
            </w:pPr>
            <w:r w:rsidRPr="00D80B82">
              <w:rPr>
                <w:iCs/>
                <w:color w:val="000000"/>
                <w:sz w:val="28"/>
                <w:szCs w:val="28"/>
                <w:lang w:val="uk-UA"/>
              </w:rPr>
              <w:t>а) підпункт 165.1.21 пункту 165.1 статті 165 викласти в такій редакції:</w:t>
            </w:r>
          </w:p>
        </w:tc>
      </w:tr>
      <w:tr w:rsidR="00D80B82" w:rsidRPr="00486D5F" w:rsidTr="00D80B82">
        <w:tc>
          <w:tcPr>
            <w:tcW w:w="7054" w:type="dxa"/>
            <w:shd w:val="clear" w:color="auto" w:fill="auto"/>
          </w:tcPr>
          <w:p w:rsidR="00D80B82" w:rsidRPr="00D80B82" w:rsidRDefault="00D80B82" w:rsidP="00D80B82">
            <w:pPr>
              <w:pStyle w:val="rvps2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80B8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165.1.21. сума, сплачена будь-якою юридичною або фізичною особою на користь вітчизняних вищих та професійно-технічних навчальних закладів за здобуття освіти, за підготовку чи перепідготовку платника податку, але не вище трикратного розміру мінімальної заробітної плати, встановленої законом на 1 січня звітного (податкового) року за кожний повний або неповний місяць навчання, підготовки чи перепідготовки такої фізичної особи;</w:t>
            </w:r>
          </w:p>
        </w:tc>
        <w:tc>
          <w:tcPr>
            <w:tcW w:w="7796" w:type="dxa"/>
          </w:tcPr>
          <w:p w:rsidR="00D80B82" w:rsidRPr="00D80B82" w:rsidRDefault="00D80B82" w:rsidP="00D80B82">
            <w:pPr>
              <w:pStyle w:val="rvps2"/>
              <w:shd w:val="clear" w:color="auto" w:fill="FFFFFF"/>
              <w:spacing w:before="0" w:beforeAutospacing="0" w:after="0" w:afterAutospacing="0" w:line="276" w:lineRule="auto"/>
              <w:jc w:val="both"/>
              <w:rPr>
                <w:iCs/>
                <w:color w:val="000000"/>
                <w:sz w:val="28"/>
                <w:szCs w:val="28"/>
                <w:lang w:val="uk-UA"/>
              </w:rPr>
            </w:pPr>
            <w:r w:rsidRPr="00D80B82">
              <w:rPr>
                <w:iCs/>
                <w:color w:val="000000"/>
                <w:sz w:val="28"/>
                <w:szCs w:val="28"/>
                <w:lang w:val="uk-UA"/>
              </w:rPr>
              <w:t>«</w:t>
            </w:r>
            <w:r w:rsidRPr="00D80B8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165.1.21. сума, сплачена будь-якою юридичною або фізичною особою на користь вітчизняних </w:t>
            </w:r>
            <w:r w:rsidRPr="00D80B82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закладів </w:t>
            </w:r>
            <w:r w:rsidRPr="00D80B82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професійної (професійно-технічної), фахової передвищої та вищої освіти</w:t>
            </w:r>
            <w:r w:rsidRPr="00D80B8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за здобуття освіти, за підготовку чи перепідготовку платника податку, але не вище трикратного розміру мінімальної заробітної плати, встановленої законом на 1 січня звітного (податкового) року за кожний повний або неповний місяць навчання, підготовки чи перепідготовки такої фізичної особи;»</w:t>
            </w:r>
          </w:p>
        </w:tc>
      </w:tr>
      <w:tr w:rsidR="00D80B82" w:rsidRPr="00D80B82" w:rsidTr="00D80B82">
        <w:tc>
          <w:tcPr>
            <w:tcW w:w="14850" w:type="dxa"/>
            <w:gridSpan w:val="2"/>
            <w:shd w:val="clear" w:color="auto" w:fill="auto"/>
          </w:tcPr>
          <w:p w:rsidR="00D80B82" w:rsidRPr="00D80B82" w:rsidRDefault="00D80B82" w:rsidP="00D80B82">
            <w:pPr>
              <w:pStyle w:val="rvps2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80B82">
              <w:rPr>
                <w:iCs/>
                <w:color w:val="000000"/>
                <w:sz w:val="28"/>
                <w:szCs w:val="28"/>
                <w:lang w:val="uk-UA"/>
              </w:rPr>
              <w:t xml:space="preserve">б) </w:t>
            </w:r>
            <w:r w:rsidRPr="00D80B82">
              <w:rPr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підпункт 197.1.2 пункту 197.1 статті 197 викласти в такій редакції:</w:t>
            </w:r>
          </w:p>
        </w:tc>
      </w:tr>
      <w:tr w:rsidR="00D80B82" w:rsidRPr="00486D5F" w:rsidTr="00D80B82">
        <w:tc>
          <w:tcPr>
            <w:tcW w:w="7054" w:type="dxa"/>
            <w:shd w:val="clear" w:color="auto" w:fill="auto"/>
          </w:tcPr>
          <w:p w:rsidR="00486D5F" w:rsidRPr="00D80B82" w:rsidRDefault="00D80B82" w:rsidP="00486D5F">
            <w:pPr>
              <w:pStyle w:val="rvps2"/>
              <w:shd w:val="clear" w:color="auto" w:fill="FFFFFF"/>
              <w:spacing w:before="0" w:beforeAutospacing="0" w:after="0" w:afterAutospacing="0" w:line="276" w:lineRule="auto"/>
              <w:jc w:val="both"/>
              <w:rPr>
                <w:iCs/>
                <w:color w:val="000000"/>
                <w:sz w:val="28"/>
                <w:szCs w:val="28"/>
                <w:lang w:val="uk-UA"/>
              </w:rPr>
            </w:pPr>
            <w:r w:rsidRPr="00D80B8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197.1.2. постачання послуг із здобуття вищої, середньої, професійно-технічної та дошкільної освіти навчальними закладами, у тому числі навчання аспірантів і докторантів, навчальними закладами, що мають ліцензію на постачання таких послуг, а також послуг з виховання та навчання дітей у будинках культури, дитячих музичних, художніх, спортивних школах і клубах, школах мистецтв та послуг з проживання учнів або студентів у гуртожитках. До таких послуг належать послуги з:</w:t>
            </w:r>
            <w:bookmarkStart w:id="0" w:name="_GoBack"/>
            <w:bookmarkEnd w:id="0"/>
          </w:p>
        </w:tc>
        <w:tc>
          <w:tcPr>
            <w:tcW w:w="7796" w:type="dxa"/>
          </w:tcPr>
          <w:p w:rsidR="00D80B82" w:rsidRPr="00D80B82" w:rsidRDefault="00D80B82" w:rsidP="00D80B82">
            <w:pPr>
              <w:pStyle w:val="rvps2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80B8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«197.1.2. постачання послуг із здобуття вищої, </w:t>
            </w:r>
            <w:r w:rsidRPr="00D80B82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фахової передвищої, </w:t>
            </w:r>
            <w:r w:rsidRPr="00D80B8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середньої, </w:t>
            </w:r>
            <w:r w:rsidRPr="00D80B82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професійної (професійно-технічної)</w:t>
            </w:r>
            <w:r w:rsidRPr="00D80B8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та дошкільної освіти навчальними закладами, у тому числі навчання аспірантів і докторантів, навчальними закладами, що мають ліцензію на постачання таких послуг, а також послуг з виховання та навчання дітей у будинках культури, дитячих музичних, художніх, спортивних школах і клубах, школах мистецтв та послуг з проживання учнів або студентів у гуртожитках. До таких послуг належать послуги з:»</w:t>
            </w:r>
          </w:p>
        </w:tc>
      </w:tr>
      <w:tr w:rsidR="00D80B82" w:rsidRPr="00D80B82" w:rsidTr="00D80B82">
        <w:tc>
          <w:tcPr>
            <w:tcW w:w="14850" w:type="dxa"/>
            <w:gridSpan w:val="2"/>
            <w:shd w:val="clear" w:color="auto" w:fill="auto"/>
          </w:tcPr>
          <w:p w:rsidR="00D80B82" w:rsidRPr="00D80B82" w:rsidRDefault="00D80B82" w:rsidP="00D80B82">
            <w:pPr>
              <w:pStyle w:val="rvps2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80B8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в) </w:t>
            </w:r>
            <w:r w:rsidRPr="00D80B82">
              <w:rPr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абзац шостий підпункту 197.1.2 пункту 197.1 статті 197 </w:t>
            </w:r>
            <w:r w:rsidRPr="00D80B82">
              <w:rPr>
                <w:iCs/>
                <w:color w:val="000000"/>
                <w:sz w:val="28"/>
                <w:szCs w:val="28"/>
                <w:lang w:val="uk-UA"/>
              </w:rPr>
              <w:t>викласти в такій редакції:</w:t>
            </w:r>
          </w:p>
        </w:tc>
      </w:tr>
      <w:tr w:rsidR="00D80B82" w:rsidRPr="00486D5F" w:rsidTr="00D80B82">
        <w:tc>
          <w:tcPr>
            <w:tcW w:w="7054" w:type="dxa"/>
            <w:shd w:val="clear" w:color="auto" w:fill="auto"/>
          </w:tcPr>
          <w:p w:rsidR="00D80B82" w:rsidRPr="00D80B82" w:rsidRDefault="00D80B82" w:rsidP="00D80B82">
            <w:pPr>
              <w:pStyle w:val="rvps2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80B8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lastRenderedPageBreak/>
              <w:t>ґ) усіх видів освітньої діяльності, які постачаються вищими навчальними закладами, у тому числі для здобуття іншої вищої та післядипломної освіти;</w:t>
            </w:r>
          </w:p>
        </w:tc>
        <w:tc>
          <w:tcPr>
            <w:tcW w:w="7796" w:type="dxa"/>
          </w:tcPr>
          <w:p w:rsidR="00D80B82" w:rsidRPr="00D80B82" w:rsidRDefault="00D80B82" w:rsidP="00D80B82">
            <w:pPr>
              <w:pStyle w:val="rvps2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80B8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«ґ) усіх видів освітньої діяльності, які постачаються </w:t>
            </w:r>
            <w:r w:rsidRPr="00D80B82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закладами </w:t>
            </w:r>
            <w:r w:rsidRPr="00D80B82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фахової передвищої та вищої освіти</w:t>
            </w:r>
            <w:r w:rsidRPr="00D80B8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, у тому числі для здобуття іншої вищої</w:t>
            </w:r>
            <w:r w:rsidR="009072B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r w:rsidR="009072B2" w:rsidRPr="009072B2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фахової передвищої</w:t>
            </w:r>
            <w:r w:rsidRPr="00D80B8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та післядипломної освіти;»</w:t>
            </w:r>
          </w:p>
        </w:tc>
      </w:tr>
      <w:tr w:rsidR="00D80B82" w:rsidRPr="00D80B82" w:rsidTr="00D80B82">
        <w:tc>
          <w:tcPr>
            <w:tcW w:w="14850" w:type="dxa"/>
            <w:gridSpan w:val="2"/>
            <w:shd w:val="clear" w:color="auto" w:fill="auto"/>
          </w:tcPr>
          <w:p w:rsidR="00D80B82" w:rsidRPr="00D80B82" w:rsidRDefault="00D80B82" w:rsidP="00D80B82">
            <w:pPr>
              <w:pStyle w:val="rvps2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80B8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г) підпункт 266.2.2 пункту 266.2 статті 266 доповнити підпунктом «м» та викласти його в такій редакції:</w:t>
            </w:r>
          </w:p>
        </w:tc>
      </w:tr>
      <w:tr w:rsidR="00D80B82" w:rsidRPr="00D80B82" w:rsidTr="00D80B82">
        <w:tc>
          <w:tcPr>
            <w:tcW w:w="7054" w:type="dxa"/>
            <w:shd w:val="clear" w:color="auto" w:fill="auto"/>
          </w:tcPr>
          <w:p w:rsidR="00D80B82" w:rsidRPr="00D80B82" w:rsidRDefault="00D80B82" w:rsidP="00D80B82">
            <w:pPr>
              <w:pStyle w:val="rvps2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7796" w:type="dxa"/>
          </w:tcPr>
          <w:p w:rsidR="00D80B82" w:rsidRPr="00D80B82" w:rsidRDefault="00D80B82" w:rsidP="00D80B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80B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м) об’єкти нежитлової нерухомості державних та комунальних закладів освіти незалежно від джерел фінансування, які є неприбутковими і внесені контролюючим органом до Реєстру неприбуткових установ та організацій. У разі виключення таких підприємств, установ та організацій з Реєстру неприбуткових установ та організацій декларація подається платником податку протягом 30 календарних днів з дня виключення, а податок сплачується починаючи з місяця, наступного за місяцем, в якому відбулося виключення з Реєстру неприбуткових установ та організацій;</w:t>
            </w:r>
          </w:p>
        </w:tc>
      </w:tr>
      <w:tr w:rsidR="00D80B82" w:rsidRPr="00D80B82" w:rsidTr="00D80B82">
        <w:tc>
          <w:tcPr>
            <w:tcW w:w="14850" w:type="dxa"/>
            <w:gridSpan w:val="2"/>
            <w:shd w:val="clear" w:color="auto" w:fill="auto"/>
          </w:tcPr>
          <w:p w:rsidR="00D80B82" w:rsidRPr="00D80B82" w:rsidRDefault="00D80B82" w:rsidP="00D80B82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80B8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ґ) Пункт 282.1 статті 282 доповнено підпунктом 282.1.7 та викласти його в такій редакції:</w:t>
            </w:r>
          </w:p>
        </w:tc>
      </w:tr>
      <w:tr w:rsidR="00D80B82" w:rsidRPr="00D80B82" w:rsidTr="00D80B82">
        <w:tc>
          <w:tcPr>
            <w:tcW w:w="7054" w:type="dxa"/>
            <w:shd w:val="clear" w:color="auto" w:fill="auto"/>
          </w:tcPr>
          <w:p w:rsidR="00D80B82" w:rsidRPr="00D80B82" w:rsidRDefault="00D80B82" w:rsidP="00D80B82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7796" w:type="dxa"/>
            <w:shd w:val="clear" w:color="auto" w:fill="auto"/>
          </w:tcPr>
          <w:p w:rsidR="00D80B82" w:rsidRPr="00D80B82" w:rsidRDefault="00D80B82" w:rsidP="00D80B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80B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282.1.7. державні та комунальні заклади освіти незалежно від джерел фінансування, які є неприбутковими і внесені контролюючим органом до Реєстру неприбуткових установ та організацій. У разі виключення таких підприємств, установ та організацій з Реєстру неприбуткових установ та організацій декларація подається платником податку протягом 30 календарних днів з дня виключення, а податок сплачується починаючи з місяця, наступного за місяцем, в якому відбулося виключення з Реєстру неприбуткових установ та організацій;</w:t>
            </w:r>
          </w:p>
        </w:tc>
      </w:tr>
    </w:tbl>
    <w:p w:rsidR="00486D5F" w:rsidRDefault="00486D5F"/>
    <w:p w:rsidR="00486D5F" w:rsidRPr="00B600FC" w:rsidRDefault="00486D5F" w:rsidP="00486D5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600FC">
        <w:rPr>
          <w:rFonts w:ascii="Times New Roman" w:hAnsi="Times New Roman"/>
          <w:b/>
          <w:sz w:val="28"/>
          <w:szCs w:val="28"/>
          <w:lang w:val="uk-UA"/>
        </w:rPr>
        <w:t xml:space="preserve">З повагою, </w:t>
      </w:r>
    </w:p>
    <w:p w:rsidR="00486D5F" w:rsidRPr="00B600FC" w:rsidRDefault="00486D5F" w:rsidP="00486D5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600FC">
        <w:rPr>
          <w:rFonts w:ascii="Times New Roman" w:hAnsi="Times New Roman"/>
          <w:b/>
          <w:sz w:val="28"/>
          <w:szCs w:val="28"/>
          <w:lang w:val="uk-UA"/>
        </w:rPr>
        <w:t xml:space="preserve">народний депутат України </w:t>
      </w:r>
      <w:r w:rsidRPr="00B600FC">
        <w:rPr>
          <w:rFonts w:ascii="Times New Roman" w:hAnsi="Times New Roman"/>
          <w:b/>
          <w:sz w:val="28"/>
          <w:szCs w:val="28"/>
          <w:lang w:val="uk-UA"/>
        </w:rPr>
        <w:tab/>
      </w:r>
      <w:r w:rsidRPr="00B600FC">
        <w:rPr>
          <w:rFonts w:ascii="Times New Roman" w:hAnsi="Times New Roman"/>
          <w:b/>
          <w:sz w:val="28"/>
          <w:szCs w:val="28"/>
          <w:lang w:val="uk-UA"/>
        </w:rPr>
        <w:tab/>
      </w:r>
      <w:r w:rsidRPr="00B600FC">
        <w:rPr>
          <w:rFonts w:ascii="Times New Roman" w:hAnsi="Times New Roman"/>
          <w:b/>
          <w:sz w:val="28"/>
          <w:szCs w:val="28"/>
          <w:lang w:val="uk-UA"/>
        </w:rPr>
        <w:tab/>
      </w:r>
      <w:r w:rsidRPr="00B600FC">
        <w:rPr>
          <w:rFonts w:ascii="Times New Roman" w:hAnsi="Times New Roman"/>
          <w:b/>
          <w:sz w:val="28"/>
          <w:szCs w:val="28"/>
          <w:lang w:val="uk-UA"/>
        </w:rPr>
        <w:tab/>
      </w:r>
      <w:r w:rsidRPr="00B600FC">
        <w:rPr>
          <w:rFonts w:ascii="Times New Roman" w:hAnsi="Times New Roman"/>
          <w:b/>
          <w:sz w:val="28"/>
          <w:szCs w:val="28"/>
          <w:lang w:val="uk-UA"/>
        </w:rPr>
        <w:tab/>
      </w:r>
      <w:r w:rsidRPr="00B600FC"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</w:t>
      </w:r>
      <w:r w:rsidRPr="00B600FC">
        <w:rPr>
          <w:rFonts w:ascii="Times New Roman" w:hAnsi="Times New Roman"/>
          <w:b/>
          <w:sz w:val="28"/>
          <w:szCs w:val="28"/>
          <w:lang w:val="uk-UA"/>
        </w:rPr>
        <w:t>Марченко О.О.</w:t>
      </w:r>
    </w:p>
    <w:p w:rsidR="00A2614B" w:rsidRPr="00486D5F" w:rsidRDefault="00486D5F" w:rsidP="00486D5F">
      <w:pPr>
        <w:spacing w:after="0" w:line="240" w:lineRule="auto"/>
      </w:pPr>
      <w:r w:rsidRPr="00B600FC">
        <w:rPr>
          <w:rFonts w:ascii="Times New Roman" w:hAnsi="Times New Roman"/>
          <w:sz w:val="20"/>
          <w:szCs w:val="20"/>
          <w:lang w:val="uk-UA"/>
        </w:rPr>
        <w:tab/>
      </w:r>
      <w:r w:rsidRPr="00B600FC">
        <w:rPr>
          <w:rFonts w:ascii="Times New Roman" w:hAnsi="Times New Roman"/>
          <w:sz w:val="20"/>
          <w:szCs w:val="20"/>
          <w:lang w:val="uk-UA"/>
        </w:rPr>
        <w:tab/>
      </w:r>
      <w:r w:rsidRPr="00B600FC">
        <w:rPr>
          <w:rFonts w:ascii="Times New Roman" w:hAnsi="Times New Roman"/>
          <w:sz w:val="20"/>
          <w:szCs w:val="20"/>
          <w:lang w:val="uk-UA"/>
        </w:rPr>
        <w:tab/>
      </w:r>
      <w:r w:rsidRPr="00B600FC">
        <w:rPr>
          <w:rFonts w:ascii="Times New Roman" w:hAnsi="Times New Roman"/>
          <w:sz w:val="20"/>
          <w:szCs w:val="20"/>
          <w:lang w:val="uk-UA"/>
        </w:rPr>
        <w:tab/>
      </w:r>
      <w:r w:rsidRPr="00B600FC">
        <w:rPr>
          <w:rFonts w:ascii="Times New Roman" w:hAnsi="Times New Roman"/>
          <w:sz w:val="20"/>
          <w:szCs w:val="20"/>
          <w:lang w:val="uk-UA"/>
        </w:rPr>
        <w:tab/>
      </w:r>
      <w:r w:rsidRPr="00B600FC">
        <w:rPr>
          <w:rFonts w:ascii="Times New Roman" w:hAnsi="Times New Roman"/>
          <w:sz w:val="20"/>
          <w:szCs w:val="20"/>
          <w:lang w:val="uk-UA"/>
        </w:rPr>
        <w:tab/>
      </w:r>
      <w:r w:rsidRPr="00B600FC">
        <w:rPr>
          <w:rFonts w:ascii="Times New Roman" w:hAnsi="Times New Roman"/>
          <w:sz w:val="20"/>
          <w:szCs w:val="20"/>
          <w:lang w:val="uk-UA"/>
        </w:rPr>
        <w:tab/>
      </w:r>
      <w:r w:rsidRPr="00B600FC">
        <w:rPr>
          <w:rFonts w:ascii="Times New Roman" w:hAnsi="Times New Roman"/>
          <w:sz w:val="20"/>
          <w:szCs w:val="20"/>
          <w:lang w:val="uk-UA"/>
        </w:rPr>
        <w:tab/>
      </w:r>
      <w:r w:rsidRPr="00B600FC">
        <w:rPr>
          <w:rFonts w:ascii="Times New Roman" w:hAnsi="Times New Roman"/>
          <w:sz w:val="20"/>
          <w:szCs w:val="20"/>
          <w:lang w:val="uk-UA"/>
        </w:rPr>
        <w:tab/>
      </w:r>
      <w:r w:rsidRPr="00B600FC">
        <w:rPr>
          <w:rFonts w:ascii="Times New Roman" w:hAnsi="Times New Roman"/>
          <w:sz w:val="20"/>
          <w:szCs w:val="20"/>
          <w:lang w:val="uk-UA"/>
        </w:rPr>
        <w:tab/>
      </w:r>
      <w:r>
        <w:rPr>
          <w:rFonts w:ascii="Times New Roman" w:hAnsi="Times New Roman"/>
          <w:sz w:val="20"/>
          <w:szCs w:val="20"/>
          <w:lang w:val="uk-UA"/>
        </w:rPr>
        <w:t xml:space="preserve">                                                                     </w:t>
      </w:r>
      <w:r w:rsidRPr="00B600FC">
        <w:rPr>
          <w:rFonts w:ascii="Times New Roman" w:hAnsi="Times New Roman"/>
          <w:sz w:val="20"/>
          <w:szCs w:val="20"/>
          <w:lang w:val="uk-UA"/>
        </w:rPr>
        <w:t>(посвідчення №294)</w:t>
      </w:r>
    </w:p>
    <w:sectPr w:rsidR="00A2614B" w:rsidRPr="00486D5F" w:rsidSect="00486D5F">
      <w:pgSz w:w="16838" w:h="11906" w:orient="landscape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Bookman Old Style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7DF"/>
    <w:rsid w:val="00016343"/>
    <w:rsid w:val="000C6652"/>
    <w:rsid w:val="001C2146"/>
    <w:rsid w:val="00207780"/>
    <w:rsid w:val="00220427"/>
    <w:rsid w:val="002402CD"/>
    <w:rsid w:val="002437DF"/>
    <w:rsid w:val="00247E6C"/>
    <w:rsid w:val="00252920"/>
    <w:rsid w:val="002B3DB8"/>
    <w:rsid w:val="0035336F"/>
    <w:rsid w:val="00357027"/>
    <w:rsid w:val="0047135B"/>
    <w:rsid w:val="0048689C"/>
    <w:rsid w:val="00486D5F"/>
    <w:rsid w:val="004B1DB5"/>
    <w:rsid w:val="004C6C78"/>
    <w:rsid w:val="004C7931"/>
    <w:rsid w:val="00583428"/>
    <w:rsid w:val="006314E7"/>
    <w:rsid w:val="006745CA"/>
    <w:rsid w:val="006C5760"/>
    <w:rsid w:val="00706485"/>
    <w:rsid w:val="007B21B8"/>
    <w:rsid w:val="007B5D20"/>
    <w:rsid w:val="007E4779"/>
    <w:rsid w:val="00882488"/>
    <w:rsid w:val="009072B2"/>
    <w:rsid w:val="009131DC"/>
    <w:rsid w:val="0094192E"/>
    <w:rsid w:val="009C345B"/>
    <w:rsid w:val="009D1826"/>
    <w:rsid w:val="009E4188"/>
    <w:rsid w:val="00A12E7C"/>
    <w:rsid w:val="00A2614B"/>
    <w:rsid w:val="00A72833"/>
    <w:rsid w:val="00A961EC"/>
    <w:rsid w:val="00BB6F8F"/>
    <w:rsid w:val="00C61EA5"/>
    <w:rsid w:val="00D51888"/>
    <w:rsid w:val="00D80B82"/>
    <w:rsid w:val="00D97041"/>
    <w:rsid w:val="00E05787"/>
    <w:rsid w:val="00E81990"/>
    <w:rsid w:val="00F50062"/>
    <w:rsid w:val="00F623A8"/>
    <w:rsid w:val="00F64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E74DAD-7151-43BE-A716-13B531D8E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B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D80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D80B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D80B8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86D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86D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zakon.rada.gov.ua/laws/show/2755-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2710</Words>
  <Characters>1546</Characters>
  <Application>Microsoft Office Word</Application>
  <DocSecurity>0</DocSecurity>
  <Lines>12</Lines>
  <Paragraphs>8</Paragraphs>
  <ScaleCrop>false</ScaleCrop>
  <Company/>
  <LinksUpToDate>false</LinksUpToDate>
  <CharactersWithSpaces>4248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Марченко Олександр Олександрович</cp:lastModifiedBy>
  <cp:revision>2</cp:revision>
  <cp:lastPrinted>2019-05-20T07:30:00Z</cp:lastPrinted>
  <dcterms:created xsi:type="dcterms:W3CDTF">2019-05-20T07:32:00Z</dcterms:created>
  <dcterms:modified xsi:type="dcterms:W3CDTF">2019-05-20T07:32:00Z</dcterms:modified>
</cp:coreProperties>
</file>