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CD524" w14:textId="77777777" w:rsidR="00596B40" w:rsidRPr="006C4493" w:rsidRDefault="00596B40" w:rsidP="00596B40">
      <w:pPr>
        <w:spacing w:after="60"/>
        <w:ind w:firstLine="567"/>
        <w:jc w:val="center"/>
        <w:outlineLvl w:val="3"/>
        <w:rPr>
          <w:b/>
          <w:bCs/>
          <w:sz w:val="28"/>
          <w:szCs w:val="28"/>
        </w:rPr>
      </w:pPr>
      <w:r w:rsidRPr="006C4493">
        <w:rPr>
          <w:b/>
          <w:bCs/>
          <w:sz w:val="28"/>
          <w:szCs w:val="28"/>
        </w:rPr>
        <w:t>ВИСНОВОК</w:t>
      </w:r>
    </w:p>
    <w:p w14:paraId="4589AFCD" w14:textId="77777777" w:rsidR="00596B40" w:rsidRDefault="00596B40" w:rsidP="00596B40">
      <w:pPr>
        <w:ind w:firstLine="567"/>
        <w:jc w:val="center"/>
        <w:outlineLvl w:val="4"/>
        <w:rPr>
          <w:b/>
          <w:sz w:val="28"/>
          <w:szCs w:val="28"/>
        </w:rPr>
      </w:pPr>
      <w:r w:rsidRPr="006C4493">
        <w:rPr>
          <w:b/>
          <w:bCs/>
          <w:sz w:val="28"/>
          <w:szCs w:val="28"/>
        </w:rPr>
        <w:t xml:space="preserve">Комітету Верховної Ради </w:t>
      </w:r>
      <w:r w:rsidRPr="006C4493">
        <w:rPr>
          <w:b/>
          <w:sz w:val="28"/>
          <w:szCs w:val="28"/>
        </w:rPr>
        <w:t xml:space="preserve">України з питань інтеграції України </w:t>
      </w:r>
    </w:p>
    <w:p w14:paraId="4E2A30B3" w14:textId="77777777" w:rsidR="00596B40" w:rsidRPr="006C4493" w:rsidRDefault="00596B40" w:rsidP="00596B40">
      <w:pPr>
        <w:ind w:firstLine="567"/>
        <w:jc w:val="center"/>
        <w:outlineLvl w:val="4"/>
        <w:rPr>
          <w:b/>
          <w:sz w:val="28"/>
          <w:szCs w:val="28"/>
        </w:rPr>
      </w:pPr>
      <w:r w:rsidRPr="006C4493">
        <w:rPr>
          <w:b/>
          <w:sz w:val="28"/>
          <w:szCs w:val="28"/>
        </w:rPr>
        <w:t>з Європейським Союзом</w:t>
      </w:r>
    </w:p>
    <w:p w14:paraId="439B2C14" w14:textId="77777777" w:rsidR="00596B40" w:rsidRPr="006C4493" w:rsidRDefault="00596B40" w:rsidP="00596B40">
      <w:pPr>
        <w:ind w:firstLine="567"/>
        <w:jc w:val="center"/>
        <w:rPr>
          <w:b/>
          <w:sz w:val="28"/>
          <w:szCs w:val="28"/>
        </w:rPr>
      </w:pPr>
      <w:r w:rsidRPr="006C4493">
        <w:rPr>
          <w:b/>
          <w:sz w:val="28"/>
          <w:szCs w:val="28"/>
        </w:rPr>
        <w:t>щодо проекту Закону «Про внесення змін до деяких законів України щодо діяльності органів суддівського врядування»</w:t>
      </w:r>
    </w:p>
    <w:p w14:paraId="32F6C811" w14:textId="77777777" w:rsidR="00596B40" w:rsidRDefault="00596B40" w:rsidP="00596B40">
      <w:pPr>
        <w:jc w:val="center"/>
        <w:rPr>
          <w:b/>
          <w:bCs/>
          <w:sz w:val="28"/>
          <w:szCs w:val="28"/>
        </w:rPr>
      </w:pPr>
      <w:r w:rsidRPr="006C4493">
        <w:rPr>
          <w:b/>
          <w:bCs/>
          <w:sz w:val="28"/>
          <w:szCs w:val="28"/>
        </w:rPr>
        <w:t>(реєстр. № 1008 від  29.08.2019р., Президент України В.Зеленський)</w:t>
      </w:r>
    </w:p>
    <w:p w14:paraId="406614FC" w14:textId="77777777" w:rsidR="00596B40" w:rsidRPr="006C4493" w:rsidRDefault="00596B40" w:rsidP="00596B40">
      <w:pPr>
        <w:jc w:val="center"/>
        <w:rPr>
          <w:b/>
          <w:sz w:val="28"/>
          <w:szCs w:val="28"/>
        </w:rPr>
      </w:pPr>
    </w:p>
    <w:p w14:paraId="273FD519" w14:textId="77777777" w:rsidR="00596B40" w:rsidRPr="006C4493" w:rsidRDefault="00596B40" w:rsidP="00596B40">
      <w:pPr>
        <w:numPr>
          <w:ilvl w:val="0"/>
          <w:numId w:val="1"/>
        </w:numPr>
        <w:spacing w:before="120"/>
        <w:jc w:val="both"/>
        <w:rPr>
          <w:b/>
          <w:bCs/>
          <w:sz w:val="28"/>
          <w:szCs w:val="28"/>
        </w:rPr>
      </w:pPr>
      <w:r w:rsidRPr="006C4493">
        <w:rPr>
          <w:b/>
          <w:bCs/>
          <w:sz w:val="28"/>
          <w:szCs w:val="28"/>
        </w:rPr>
        <w:t>Загальна характеристика законопроекту.</w:t>
      </w:r>
    </w:p>
    <w:p w14:paraId="56DEF9D8" w14:textId="77777777" w:rsidR="00596B40" w:rsidRPr="006C4493" w:rsidRDefault="00596B40" w:rsidP="00596B40">
      <w:pPr>
        <w:widowControl w:val="0"/>
        <w:spacing w:before="120"/>
        <w:ind w:firstLine="720"/>
        <w:jc w:val="both"/>
        <w:outlineLvl w:val="0"/>
        <w:rPr>
          <w:sz w:val="28"/>
          <w:szCs w:val="28"/>
        </w:rPr>
      </w:pPr>
      <w:r w:rsidRPr="006C4493">
        <w:rPr>
          <w:sz w:val="28"/>
          <w:szCs w:val="28"/>
        </w:rPr>
        <w:t>Метою і завданням законопроекту є комплексне врегулювання питань організації діяльності Вищої кваліфікаційної комісії суддів України і Вищої ради правосуддя.</w:t>
      </w:r>
    </w:p>
    <w:p w14:paraId="4323C489" w14:textId="77777777" w:rsidR="00596B40" w:rsidRPr="006C4493" w:rsidRDefault="00596B40" w:rsidP="00596B40">
      <w:pPr>
        <w:widowControl w:val="0"/>
        <w:spacing w:before="120"/>
        <w:ind w:firstLine="720"/>
        <w:jc w:val="both"/>
        <w:outlineLvl w:val="0"/>
        <w:rPr>
          <w:sz w:val="28"/>
          <w:szCs w:val="28"/>
        </w:rPr>
      </w:pPr>
      <w:r w:rsidRPr="006C4493">
        <w:rPr>
          <w:sz w:val="28"/>
          <w:szCs w:val="28"/>
        </w:rPr>
        <w:t>Проектом Закону вноситься низка суттєвих змін до Законів України "Про судоустрій і статус суддів", "Про очищення влади" та "Про Вищу раду правосуддя".</w:t>
      </w:r>
    </w:p>
    <w:p w14:paraId="4E379948" w14:textId="77777777" w:rsidR="00596B40" w:rsidRPr="006C4493" w:rsidRDefault="00596B40" w:rsidP="00596B40">
      <w:pPr>
        <w:widowControl w:val="0"/>
        <w:ind w:firstLine="720"/>
        <w:jc w:val="both"/>
        <w:outlineLvl w:val="0"/>
        <w:rPr>
          <w:sz w:val="28"/>
          <w:szCs w:val="28"/>
        </w:rPr>
      </w:pPr>
    </w:p>
    <w:p w14:paraId="46002D02" w14:textId="77777777" w:rsidR="00596B40" w:rsidRPr="006C4493" w:rsidRDefault="00596B40" w:rsidP="00596B40">
      <w:pPr>
        <w:spacing w:before="120"/>
        <w:ind w:firstLine="567"/>
        <w:jc w:val="both"/>
        <w:rPr>
          <w:b/>
          <w:sz w:val="28"/>
          <w:szCs w:val="28"/>
        </w:rPr>
      </w:pPr>
      <w:r w:rsidRPr="006C4493">
        <w:rPr>
          <w:rFonts w:eastAsia="Verdana"/>
          <w:b/>
          <w:sz w:val="28"/>
          <w:szCs w:val="28"/>
        </w:rPr>
        <w:t>2.  </w:t>
      </w:r>
      <w:r w:rsidRPr="006C4493">
        <w:rPr>
          <w:b/>
          <w:sz w:val="28"/>
          <w:szCs w:val="28"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14:paraId="0FCB7501" w14:textId="77777777" w:rsidR="00596B40" w:rsidRDefault="00596B40" w:rsidP="00596B40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14:paraId="0B546196" w14:textId="77777777" w:rsidR="00596B40" w:rsidRPr="006C4493" w:rsidRDefault="00596B40" w:rsidP="00596B40">
      <w:pPr>
        <w:pStyle w:val="1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C44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Правовідносини, що належать до сфери правового регулювання законопроекту регулюються наступними актами acquis ЄС та</w:t>
      </w:r>
      <w:r w:rsidRPr="006C44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C44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документами Ради Європи:</w:t>
      </w:r>
    </w:p>
    <w:p w14:paraId="3F307023" w14:textId="77777777" w:rsidR="00596B40" w:rsidRPr="006C4493" w:rsidRDefault="00596B40" w:rsidP="00596B40">
      <w:pPr>
        <w:pStyle w:val="1"/>
        <w:numPr>
          <w:ilvl w:val="0"/>
          <w:numId w:val="2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C44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від 27.06.2014 (далі - Угода про асоціацію);</w:t>
      </w:r>
    </w:p>
    <w:p w14:paraId="404AD4D8" w14:textId="77777777" w:rsidR="00596B40" w:rsidRPr="006C4493" w:rsidRDefault="00596B40" w:rsidP="00596B40">
      <w:pPr>
        <w:pStyle w:val="1"/>
        <w:numPr>
          <w:ilvl w:val="0"/>
          <w:numId w:val="2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C44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Європейською хартією про закон «Про статус суддів» від 10 липня 1998 р. </w:t>
      </w:r>
    </w:p>
    <w:p w14:paraId="11D42C0D" w14:textId="77777777" w:rsidR="00596B40" w:rsidRPr="006C4493" w:rsidRDefault="00596B40" w:rsidP="00596B40">
      <w:pPr>
        <w:pStyle w:val="1"/>
        <w:numPr>
          <w:ilvl w:val="0"/>
          <w:numId w:val="2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C44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Рекомендацією </w:t>
      </w:r>
      <w:r w:rsidRPr="006C449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CM</w:t>
      </w:r>
      <w:r w:rsidRPr="006C44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/</w:t>
      </w:r>
      <w:r w:rsidRPr="006C449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Rec</w:t>
      </w:r>
      <w:r w:rsidRPr="006C44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(2010) 12 Комітету Міністрів Ради Європи державам – членам щодо суддів: незалежність, ефективність та обов’язки (ухвалено Комітетом Міністрів Ради Європи17 листопада 2010 р. на 1098 засіданні заступників міністрів)</w:t>
      </w:r>
    </w:p>
    <w:p w14:paraId="13AAB070" w14:textId="77777777" w:rsidR="00596B40" w:rsidRDefault="00596B40" w:rsidP="00596B40">
      <w:pPr>
        <w:pStyle w:val="1"/>
        <w:numPr>
          <w:ilvl w:val="0"/>
          <w:numId w:val="2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C449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Висновком № 1 (2001) Консультативної ради європейських суддів для Комітету міністрів Ради Європи про стандарти та незалежність судових органів та незмінюваність суддів.</w:t>
      </w:r>
    </w:p>
    <w:p w14:paraId="163F77A1" w14:textId="77777777" w:rsidR="00596B40" w:rsidRPr="006C4493" w:rsidRDefault="00596B40" w:rsidP="00596B40">
      <w:pPr>
        <w:pStyle w:val="1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14:paraId="1BDD2525" w14:textId="77777777" w:rsidR="00596B40" w:rsidRPr="006C4493" w:rsidRDefault="00596B40" w:rsidP="00596B40">
      <w:pPr>
        <w:spacing w:before="120"/>
        <w:ind w:firstLine="567"/>
        <w:jc w:val="both"/>
        <w:rPr>
          <w:b/>
          <w:sz w:val="28"/>
          <w:szCs w:val="28"/>
        </w:rPr>
      </w:pPr>
      <w:r w:rsidRPr="006C4493">
        <w:rPr>
          <w:rFonts w:eastAsia="Verdana"/>
          <w:b/>
          <w:bCs/>
          <w:sz w:val="28"/>
          <w:szCs w:val="28"/>
        </w:rPr>
        <w:t>3.  </w:t>
      </w:r>
      <w:r w:rsidRPr="006C4493">
        <w:rPr>
          <w:b/>
          <w:sz w:val="28"/>
          <w:szCs w:val="28"/>
        </w:rPr>
        <w:t>Відповідність законопроекту праву ЄС та зобов’язанням України в рамках Ради Європи.</w:t>
      </w:r>
    </w:p>
    <w:p w14:paraId="0DE6C520" w14:textId="77777777" w:rsidR="00596B40" w:rsidRPr="006C4493" w:rsidRDefault="00596B40" w:rsidP="00596B40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</w:p>
    <w:p w14:paraId="69251771" w14:textId="77777777" w:rsidR="00596B40" w:rsidRPr="006C4493" w:rsidRDefault="00596B40" w:rsidP="00596B40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bCs/>
          <w:sz w:val="28"/>
          <w:szCs w:val="28"/>
        </w:rPr>
      </w:pPr>
      <w:r w:rsidRPr="006C4493">
        <w:rPr>
          <w:rFonts w:ascii="Times New Roman" w:hAnsi="Times New Roman"/>
          <w:sz w:val="28"/>
          <w:szCs w:val="28"/>
        </w:rPr>
        <w:tab/>
        <w:t xml:space="preserve">Згідно зі ст.6 Угоди про асоціацію, яка регламентує питання діалогу і співробітництва між Україною та ЄС з питань внутрішніх реформ, сторони мають </w:t>
      </w:r>
      <w:r w:rsidRPr="00596B40">
        <w:rPr>
          <w:rFonts w:ascii="Times New Roman" w:hAnsi="Times New Roman"/>
          <w:sz w:val="28"/>
          <w:szCs w:val="28"/>
        </w:rPr>
        <w:t xml:space="preserve">співпрацювати </w:t>
      </w:r>
      <w:r w:rsidRPr="006C4493">
        <w:rPr>
          <w:rFonts w:ascii="Times New Roman" w:hAnsi="Times New Roman"/>
          <w:sz w:val="28"/>
          <w:szCs w:val="28"/>
        </w:rPr>
        <w:t xml:space="preserve">з метою забезпечення того, щоб їхня внутрішня політика ґрунтувалася на спільних для Сторін принципах, зокрема таких, як стабільність і дієвість демократичних інституцій, верховенство права та повага до прав людини і основоположних свобод, про які йдеться у ст.14 цієї Угоди. Таким </w:t>
      </w:r>
      <w:r w:rsidRPr="006C4493">
        <w:rPr>
          <w:rFonts w:ascii="Times New Roman" w:hAnsi="Times New Roman"/>
          <w:sz w:val="28"/>
          <w:szCs w:val="28"/>
        </w:rPr>
        <w:lastRenderedPageBreak/>
        <w:t>чином в рамках співробітництва у сфері юстиції, свободи та безпеки Сторони надають особливого значення утвердженню верховенства права т</w:t>
      </w:r>
      <w:r>
        <w:rPr>
          <w:rFonts w:ascii="Times New Roman" w:hAnsi="Times New Roman"/>
          <w:sz w:val="28"/>
          <w:szCs w:val="28"/>
        </w:rPr>
        <w:t>а укрі</w:t>
      </w:r>
      <w:r w:rsidRPr="006C4493">
        <w:rPr>
          <w:rFonts w:ascii="Times New Roman" w:hAnsi="Times New Roman"/>
          <w:sz w:val="28"/>
          <w:szCs w:val="28"/>
        </w:rPr>
        <w:t xml:space="preserve">пленню інституцій усіх рівнів у сфері управління загалом та правоохоронних і судових органів зокрема. Співробітництво має бути  спрямоване, зокрема, на зміцнення судової влади, підвищення її ефективності, гарантування її незалежності та неупередженості та боротьбу з корупцією. Крім того, співробітництво у сфері юстиції, свободи та безпеки має відбуватися на основі принципу поваги до прав людини та основоположних свобод.     </w:t>
      </w:r>
    </w:p>
    <w:p w14:paraId="4F013A71" w14:textId="77777777" w:rsidR="00596B40" w:rsidRPr="006C4493" w:rsidRDefault="00596B40" w:rsidP="00596B40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bCs/>
          <w:sz w:val="28"/>
          <w:szCs w:val="28"/>
        </w:rPr>
      </w:pPr>
      <w:r w:rsidRPr="006C4493">
        <w:rPr>
          <w:bCs/>
          <w:sz w:val="28"/>
          <w:szCs w:val="28"/>
        </w:rPr>
        <w:tab/>
      </w:r>
      <w:r w:rsidRPr="006C4493">
        <w:rPr>
          <w:rFonts w:ascii="Times New Roman" w:hAnsi="Times New Roman"/>
          <w:sz w:val="28"/>
          <w:szCs w:val="28"/>
        </w:rPr>
        <w:t xml:space="preserve"> Суб’єкт законодавчої ініціативи пропонує вилучити норму, що передбачає внесення змін до Закону України «Про судоустрій і статус суддів» виключно законами про внесення змін до Закону України «Про судоустрій і статус суддів», що в свою чергу може призвести до порушення принципу незалежності судової системи від виконавчої та законодавчої влади. Згідно з  </w:t>
      </w:r>
      <w:r w:rsidRPr="006C4493">
        <w:rPr>
          <w:rFonts w:ascii="Times New Roman" w:hAnsi="Times New Roman"/>
          <w:bCs/>
          <w:sz w:val="28"/>
          <w:szCs w:val="28"/>
        </w:rPr>
        <w:t>Висновком № 1 (2001) Консультативної ради європейських суддів для Комітету міністрів Ради Європи про стандарти та незалежність судових органів та незмінюваність суддів незалежність судової влади повинна гарантуватися національними стандартами на найвищому рівні.</w:t>
      </w:r>
    </w:p>
    <w:p w14:paraId="7D2BEC92" w14:textId="77777777" w:rsidR="00596B40" w:rsidRPr="006C4493" w:rsidRDefault="00596B40" w:rsidP="00596B40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bCs/>
          <w:sz w:val="28"/>
          <w:szCs w:val="28"/>
        </w:rPr>
      </w:pPr>
      <w:r w:rsidRPr="006C4493">
        <w:rPr>
          <w:rFonts w:ascii="Times New Roman" w:hAnsi="Times New Roman"/>
          <w:bCs/>
          <w:sz w:val="28"/>
          <w:szCs w:val="28"/>
        </w:rPr>
        <w:tab/>
        <w:t>Також положення законопроекту щодо зменшення максимальної кількості суддів Верховного Суду з 200 до 100 осіб, враховуючи завантаженість, обсяг роботи суддів і тисячі невирішених справ не сприятимуть підвищенню ефективності судової влади і призведуть до порушення ст. 6 Конвенції про захист прав людини і основоположних свобод, згідно з якою кожному гарантується право на справедливий і публічний розгляд його справи впродовж розумного строку.</w:t>
      </w:r>
    </w:p>
    <w:p w14:paraId="191F8FFB" w14:textId="77777777" w:rsidR="00596B40" w:rsidRPr="006C4493" w:rsidRDefault="00596B40" w:rsidP="00596B40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bCs/>
          <w:sz w:val="28"/>
          <w:szCs w:val="28"/>
        </w:rPr>
      </w:pPr>
      <w:r w:rsidRPr="006C4493">
        <w:rPr>
          <w:rFonts w:ascii="Times New Roman" w:hAnsi="Times New Roman"/>
          <w:bCs/>
          <w:sz w:val="28"/>
          <w:szCs w:val="28"/>
        </w:rPr>
        <w:tab/>
        <w:t>Внесення змін до пункту 3 частини третьої статті 135</w:t>
      </w:r>
      <w:r w:rsidRPr="006C4493">
        <w:rPr>
          <w:rFonts w:ascii="Times New Roman" w:hAnsi="Times New Roman"/>
          <w:sz w:val="28"/>
          <w:szCs w:val="28"/>
        </w:rPr>
        <w:t xml:space="preserve"> Закону України «Про судоустрій і статус суддів»</w:t>
      </w:r>
      <w:r w:rsidRPr="006C4493">
        <w:rPr>
          <w:rFonts w:ascii="Times New Roman" w:hAnsi="Times New Roman"/>
          <w:bCs/>
          <w:sz w:val="28"/>
          <w:szCs w:val="28"/>
        </w:rPr>
        <w:t xml:space="preserve"> з метою зменшення базового розміру посадового окладу суддів Верховного Суду не відповідає пункту 54 Додатку до Рекомендації </w:t>
      </w:r>
      <w:r w:rsidRPr="006C4493">
        <w:rPr>
          <w:rFonts w:ascii="Times New Roman" w:hAnsi="Times New Roman"/>
          <w:bCs/>
          <w:sz w:val="28"/>
          <w:szCs w:val="28"/>
          <w:lang w:val="en-US"/>
        </w:rPr>
        <w:t>CM</w:t>
      </w:r>
      <w:r w:rsidRPr="006C4493">
        <w:rPr>
          <w:rFonts w:ascii="Times New Roman" w:hAnsi="Times New Roman"/>
          <w:bCs/>
          <w:sz w:val="28"/>
          <w:szCs w:val="28"/>
        </w:rPr>
        <w:t>/</w:t>
      </w:r>
      <w:r w:rsidRPr="006C4493">
        <w:rPr>
          <w:rFonts w:ascii="Times New Roman" w:hAnsi="Times New Roman"/>
          <w:bCs/>
          <w:sz w:val="28"/>
          <w:szCs w:val="28"/>
          <w:lang w:val="en-US"/>
        </w:rPr>
        <w:t>Rec</w:t>
      </w:r>
      <w:r w:rsidRPr="006C4493">
        <w:rPr>
          <w:rFonts w:ascii="Times New Roman" w:hAnsi="Times New Roman"/>
          <w:bCs/>
          <w:sz w:val="28"/>
          <w:szCs w:val="28"/>
        </w:rPr>
        <w:t xml:space="preserve"> (2010) 12 Комітету Міністрів Ради Європи, у якому зазначено, що оплата праці суддів повинна відповідати їх професії та виконуваним обов’язкам, а також бути достатньою, щоб захистити від дії стимулів, через які можна впливати на їхні рішення. Мають існувати гарантії збереження належної оплати праці на випадок хвороби, відпустки по догляду за дитиною, а також гарантії виплат у зв’язку з виходом на пенсію, які мають відповідати попередньому рівню оплати їх праці. Крім  того, для захисту оплати праці суддів від зменшення слід прийняти спеціальні законодавчі положення.     </w:t>
      </w:r>
    </w:p>
    <w:p w14:paraId="6AE35C3C" w14:textId="17622107" w:rsidR="00596B40" w:rsidRPr="006C4493" w:rsidRDefault="00596B40" w:rsidP="00596B40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bCs/>
          <w:sz w:val="28"/>
          <w:szCs w:val="28"/>
        </w:rPr>
      </w:pPr>
      <w:r w:rsidRPr="006C4493">
        <w:rPr>
          <w:rFonts w:ascii="Times New Roman" w:hAnsi="Times New Roman"/>
          <w:bCs/>
          <w:sz w:val="28"/>
          <w:szCs w:val="28"/>
        </w:rPr>
        <w:tab/>
        <w:t xml:space="preserve">Положення законопроекту, якими пропонується передати повноваження Вищої кваліфікаційної комісії суддів України щодо обрання (призначення) складу Комісії, затвердження її регламенту і т.д. Вищій раді правосуддя, </w:t>
      </w:r>
      <w:r w:rsidR="00C61437">
        <w:rPr>
          <w:rFonts w:ascii="Times New Roman" w:hAnsi="Times New Roman"/>
          <w:bCs/>
          <w:sz w:val="28"/>
          <w:szCs w:val="28"/>
        </w:rPr>
        <w:t>не відповідають</w:t>
      </w:r>
      <w:r w:rsidRPr="006C4493">
        <w:rPr>
          <w:rFonts w:ascii="Times New Roman" w:hAnsi="Times New Roman"/>
          <w:bCs/>
          <w:sz w:val="28"/>
          <w:szCs w:val="28"/>
        </w:rPr>
        <w:t xml:space="preserve"> принципу ефективно</w:t>
      </w:r>
      <w:r w:rsidR="00FF1F02">
        <w:rPr>
          <w:rFonts w:ascii="Times New Roman" w:hAnsi="Times New Roman"/>
          <w:bCs/>
          <w:sz w:val="28"/>
          <w:szCs w:val="28"/>
        </w:rPr>
        <w:t>го</w:t>
      </w:r>
      <w:r w:rsidRPr="006C4493">
        <w:rPr>
          <w:rFonts w:ascii="Times New Roman" w:hAnsi="Times New Roman"/>
          <w:bCs/>
          <w:sz w:val="28"/>
          <w:szCs w:val="28"/>
        </w:rPr>
        <w:t xml:space="preserve"> функціонув</w:t>
      </w:r>
      <w:r w:rsidR="00FF1F02">
        <w:rPr>
          <w:rFonts w:ascii="Times New Roman" w:hAnsi="Times New Roman"/>
          <w:bCs/>
          <w:sz w:val="28"/>
          <w:szCs w:val="28"/>
        </w:rPr>
        <w:t>ання</w:t>
      </w:r>
      <w:bookmarkStart w:id="0" w:name="_GoBack"/>
      <w:bookmarkEnd w:id="0"/>
      <w:r w:rsidRPr="006C4493">
        <w:rPr>
          <w:rFonts w:ascii="Times New Roman" w:hAnsi="Times New Roman"/>
          <w:bCs/>
          <w:sz w:val="28"/>
          <w:szCs w:val="28"/>
        </w:rPr>
        <w:t xml:space="preserve"> судової системи. Крім того, згідно з Додатком до Рекомендації </w:t>
      </w:r>
      <w:r w:rsidRPr="006C4493">
        <w:rPr>
          <w:rFonts w:ascii="Times New Roman" w:hAnsi="Times New Roman"/>
          <w:bCs/>
          <w:sz w:val="28"/>
          <w:szCs w:val="28"/>
          <w:lang w:val="en-US"/>
        </w:rPr>
        <w:t>CM</w:t>
      </w:r>
      <w:r w:rsidRPr="006C4493">
        <w:rPr>
          <w:rFonts w:ascii="Times New Roman" w:hAnsi="Times New Roman"/>
          <w:bCs/>
          <w:sz w:val="28"/>
          <w:szCs w:val="28"/>
        </w:rPr>
        <w:t>/</w:t>
      </w:r>
      <w:r w:rsidRPr="006C4493">
        <w:rPr>
          <w:rFonts w:ascii="Times New Roman" w:hAnsi="Times New Roman"/>
          <w:bCs/>
          <w:sz w:val="28"/>
          <w:szCs w:val="28"/>
          <w:lang w:val="en-US"/>
        </w:rPr>
        <w:t>Rec</w:t>
      </w:r>
      <w:r w:rsidRPr="006C4493">
        <w:rPr>
          <w:rFonts w:ascii="Times New Roman" w:hAnsi="Times New Roman"/>
          <w:bCs/>
          <w:sz w:val="28"/>
          <w:szCs w:val="28"/>
        </w:rPr>
        <w:t xml:space="preserve"> (2010) 12 Комітету Міністрів Ради Європи не менше половин</w:t>
      </w:r>
      <w:r w:rsidR="00C61437">
        <w:rPr>
          <w:rFonts w:ascii="Times New Roman" w:hAnsi="Times New Roman"/>
          <w:bCs/>
          <w:sz w:val="28"/>
          <w:szCs w:val="28"/>
        </w:rPr>
        <w:t>и</w:t>
      </w:r>
      <w:r w:rsidRPr="006C4493">
        <w:rPr>
          <w:rFonts w:ascii="Times New Roman" w:hAnsi="Times New Roman"/>
          <w:bCs/>
          <w:sz w:val="28"/>
          <w:szCs w:val="28"/>
        </w:rPr>
        <w:t xml:space="preserve"> незалежних органів судової влади мають </w:t>
      </w:r>
      <w:r w:rsidR="00C61437">
        <w:rPr>
          <w:rFonts w:ascii="Times New Roman" w:hAnsi="Times New Roman"/>
          <w:bCs/>
          <w:sz w:val="28"/>
          <w:szCs w:val="28"/>
        </w:rPr>
        <w:t xml:space="preserve">бути </w:t>
      </w:r>
      <w:r w:rsidRPr="006C4493">
        <w:rPr>
          <w:rFonts w:ascii="Times New Roman" w:hAnsi="Times New Roman"/>
          <w:bCs/>
          <w:sz w:val="28"/>
          <w:szCs w:val="28"/>
        </w:rPr>
        <w:t xml:space="preserve">суддями, яких обирають самі ж судді із судів усіх рівнів з поваги до плюралізму в судовій системі. </w:t>
      </w:r>
    </w:p>
    <w:p w14:paraId="2F5651A6" w14:textId="77777777" w:rsidR="00596B40" w:rsidRPr="006C4493" w:rsidRDefault="00596B40" w:rsidP="00596B40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  <w:r w:rsidRPr="006C4493">
        <w:rPr>
          <w:rFonts w:ascii="Times New Roman" w:hAnsi="Times New Roman"/>
          <w:bCs/>
          <w:sz w:val="28"/>
          <w:szCs w:val="28"/>
        </w:rPr>
        <w:tab/>
        <w:t xml:space="preserve">Крім того, застосування люстраційних заходів до окремих осіб, які займають певні посади в органах судової влади, під час демократичної зміни влади може </w:t>
      </w:r>
      <w:r w:rsidRPr="006C4493">
        <w:rPr>
          <w:rFonts w:ascii="Times New Roman" w:hAnsi="Times New Roman"/>
          <w:bCs/>
          <w:sz w:val="28"/>
          <w:szCs w:val="28"/>
        </w:rPr>
        <w:lastRenderedPageBreak/>
        <w:t>розцінюватися як порушення основних принципів функціонування органів судової влади, таких як незалежність та неупереджене правосуддя.</w:t>
      </w:r>
    </w:p>
    <w:p w14:paraId="1D871DDB" w14:textId="77777777" w:rsidR="00596B40" w:rsidRPr="006C4493" w:rsidRDefault="00596B40" w:rsidP="00596B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color w:val="000000"/>
          <w:sz w:val="28"/>
          <w:szCs w:val="28"/>
          <w:lang w:val="uk-UA"/>
        </w:rPr>
      </w:pPr>
    </w:p>
    <w:p w14:paraId="63911826" w14:textId="77777777" w:rsidR="00596B40" w:rsidRPr="006C4493" w:rsidRDefault="00596B40" w:rsidP="00596B40">
      <w:pPr>
        <w:spacing w:before="160"/>
        <w:ind w:firstLine="708"/>
        <w:jc w:val="both"/>
        <w:rPr>
          <w:b/>
          <w:bCs/>
          <w:sz w:val="28"/>
          <w:szCs w:val="28"/>
        </w:rPr>
      </w:pPr>
      <w:r w:rsidRPr="006C4493">
        <w:rPr>
          <w:rFonts w:eastAsia="Verdana"/>
          <w:b/>
          <w:bCs/>
          <w:sz w:val="28"/>
          <w:szCs w:val="28"/>
        </w:rPr>
        <w:t>4.   </w:t>
      </w:r>
      <w:r w:rsidRPr="006C4493">
        <w:rPr>
          <w:b/>
          <w:sz w:val="28"/>
          <w:szCs w:val="28"/>
        </w:rPr>
        <w:t xml:space="preserve">Висновок Комітету з питань інтеграції України з Європейським Союзом. </w:t>
      </w:r>
    </w:p>
    <w:p w14:paraId="50584F7B" w14:textId="77777777" w:rsidR="00596B40" w:rsidRPr="006C4493" w:rsidRDefault="00596B40" w:rsidP="00596B40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  <w:r w:rsidRPr="006C4493">
        <w:rPr>
          <w:rFonts w:ascii="Times New Roman" w:hAnsi="Times New Roman"/>
          <w:sz w:val="28"/>
          <w:szCs w:val="28"/>
        </w:rPr>
        <w:tab/>
      </w:r>
    </w:p>
    <w:p w14:paraId="66EE0E2D" w14:textId="77777777" w:rsidR="00596B40" w:rsidRPr="006C4493" w:rsidRDefault="00596B40" w:rsidP="00596B40">
      <w:pPr>
        <w:pStyle w:val="a3"/>
        <w:widowControl w:val="0"/>
        <w:tabs>
          <w:tab w:val="left" w:pos="540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  <w:r w:rsidRPr="006C4493">
        <w:rPr>
          <w:rFonts w:ascii="Times New Roman" w:hAnsi="Times New Roman"/>
          <w:sz w:val="28"/>
          <w:szCs w:val="28"/>
        </w:rPr>
        <w:tab/>
        <w:t>Проект Закону не відповідає праву Європейського Союзу і рекомендаціям Ради Європи, а також не враховує основні принципи незалежності судових органів та державного управління</w:t>
      </w:r>
      <w:r w:rsidRPr="006C4493">
        <w:rPr>
          <w:rFonts w:ascii="Times New Roman" w:hAnsi="Times New Roman"/>
          <w:bCs/>
          <w:sz w:val="28"/>
          <w:szCs w:val="28"/>
        </w:rPr>
        <w:t xml:space="preserve"> такі </w:t>
      </w:r>
      <w:r w:rsidRPr="006C4493">
        <w:rPr>
          <w:rFonts w:ascii="Times New Roman" w:hAnsi="Times New Roman"/>
          <w:sz w:val="28"/>
          <w:szCs w:val="28"/>
        </w:rPr>
        <w:t>як демократія, верховенство права, повага до прав людини і основоположних свобод.</w:t>
      </w:r>
    </w:p>
    <w:p w14:paraId="55A2D526" w14:textId="77777777" w:rsidR="00596B40" w:rsidRDefault="00596B40" w:rsidP="00596B40">
      <w:pPr>
        <w:spacing w:before="160"/>
        <w:ind w:firstLine="708"/>
        <w:jc w:val="both"/>
        <w:rPr>
          <w:sz w:val="28"/>
          <w:szCs w:val="28"/>
        </w:rPr>
      </w:pPr>
      <w:r w:rsidRPr="006C4493">
        <w:rPr>
          <w:sz w:val="28"/>
          <w:szCs w:val="28"/>
        </w:rPr>
        <w:t>Комітет з питань інтеграції України з Європейським Союзом рекомендує провести консультації</w:t>
      </w:r>
      <w:r w:rsidR="00C61437">
        <w:rPr>
          <w:sz w:val="28"/>
          <w:szCs w:val="28"/>
          <w:lang w:val="uk-UA"/>
        </w:rPr>
        <w:t xml:space="preserve"> </w:t>
      </w:r>
      <w:r w:rsidRPr="006C4493">
        <w:rPr>
          <w:sz w:val="28"/>
          <w:szCs w:val="28"/>
        </w:rPr>
        <w:t>з Представництво</w:t>
      </w:r>
      <w:r w:rsidR="00C61437">
        <w:rPr>
          <w:sz w:val="28"/>
          <w:szCs w:val="28"/>
        </w:rPr>
        <w:t>м Європейського Союзу в Україні</w:t>
      </w:r>
      <w:r w:rsidR="00C61437">
        <w:rPr>
          <w:sz w:val="28"/>
          <w:szCs w:val="28"/>
          <w:lang w:val="uk-UA"/>
        </w:rPr>
        <w:t xml:space="preserve">, </w:t>
      </w:r>
      <w:r w:rsidRPr="006C4493">
        <w:rPr>
          <w:sz w:val="28"/>
          <w:szCs w:val="28"/>
        </w:rPr>
        <w:t xml:space="preserve">Посольством Канади </w:t>
      </w:r>
      <w:r w:rsidR="00C61437">
        <w:rPr>
          <w:sz w:val="28"/>
          <w:szCs w:val="28"/>
          <w:lang w:val="uk-UA"/>
        </w:rPr>
        <w:t>в</w:t>
      </w:r>
      <w:r w:rsidRPr="006C4493">
        <w:rPr>
          <w:sz w:val="28"/>
          <w:szCs w:val="28"/>
        </w:rPr>
        <w:t xml:space="preserve"> Україні </w:t>
      </w:r>
      <w:r w:rsidR="00C61437">
        <w:rPr>
          <w:sz w:val="28"/>
          <w:szCs w:val="28"/>
          <w:lang w:val="uk-UA"/>
        </w:rPr>
        <w:t xml:space="preserve">та міжнародними організаціями </w:t>
      </w:r>
      <w:r w:rsidRPr="006C4493">
        <w:rPr>
          <w:sz w:val="28"/>
          <w:szCs w:val="28"/>
        </w:rPr>
        <w:t xml:space="preserve">для максимального врахування висловлених зауважень до початку процедури розгляду законопроекту у другому читанні. </w:t>
      </w:r>
    </w:p>
    <w:p w14:paraId="62D7F5DC" w14:textId="77777777"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CC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6AC42B05"/>
    <w:multiLevelType w:val="hybridMultilevel"/>
    <w:tmpl w:val="3D44D82E"/>
    <w:lvl w:ilvl="0" w:tplc="DE46AF8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852"/>
    <w:rsid w:val="005204CF"/>
    <w:rsid w:val="00596B40"/>
    <w:rsid w:val="00B44852"/>
    <w:rsid w:val="00C61437"/>
    <w:rsid w:val="00FF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FE298"/>
  <w15:chartTrackingRefBased/>
  <w15:docId w15:val="{A9F5B077-DDA7-4A38-9774-46269727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40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596B40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a3">
    <w:name w:val="Нормальний текст"/>
    <w:basedOn w:val="a"/>
    <w:rsid w:val="00596B40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4">
    <w:name w:val="List Paragraph"/>
    <w:basedOn w:val="a"/>
    <w:uiPriority w:val="34"/>
    <w:qFormat/>
    <w:rsid w:val="00596B4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61437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6143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3839</Words>
  <Characters>2189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Альона Вікторівна Найденко</cp:lastModifiedBy>
  <cp:revision>1</cp:revision>
  <cp:lastPrinted>2019-09-18T07:55:00Z</cp:lastPrinted>
  <dcterms:created xsi:type="dcterms:W3CDTF">2019-09-18T06:20:00Z</dcterms:created>
  <dcterms:modified xsi:type="dcterms:W3CDTF">2019-09-18T07:56:00Z</dcterms:modified>
</cp:coreProperties>
</file>