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036" w:rsidRPr="006D1036" w:rsidRDefault="006D1036" w:rsidP="006D1036">
      <w:pPr>
        <w:pStyle w:val="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6D1036">
        <w:rPr>
          <w:rFonts w:ascii="Times New Roman" w:hAnsi="Times New Roman" w:cs="Times New Roman"/>
          <w:color w:val="auto"/>
          <w:sz w:val="28"/>
          <w:szCs w:val="28"/>
        </w:rPr>
        <w:t xml:space="preserve">ПОРІВНЯЛЬНА ТАБЛИЦЯ </w:t>
      </w:r>
    </w:p>
    <w:p w:rsidR="00752F38" w:rsidRPr="00752F38" w:rsidRDefault="006D1036" w:rsidP="00752F38">
      <w:pPr>
        <w:widowControl w:val="0"/>
        <w:suppressAutoHyphens/>
        <w:spacing w:after="120"/>
        <w:jc w:val="center"/>
        <w:rPr>
          <w:b/>
          <w:color w:val="auto"/>
          <w:kern w:val="2"/>
          <w:sz w:val="28"/>
          <w:szCs w:val="28"/>
          <w:lang w:eastAsia="en-US"/>
        </w:rPr>
      </w:pPr>
      <w:r w:rsidRPr="00752F38">
        <w:rPr>
          <w:b/>
          <w:color w:val="auto"/>
          <w:sz w:val="28"/>
          <w:szCs w:val="28"/>
        </w:rPr>
        <w:t xml:space="preserve">до </w:t>
      </w:r>
      <w:r w:rsidR="00752F38" w:rsidRPr="00752F38">
        <w:rPr>
          <w:b/>
          <w:color w:val="auto"/>
          <w:sz w:val="28"/>
          <w:szCs w:val="28"/>
        </w:rPr>
        <w:t>проекту</w:t>
      </w:r>
      <w:r w:rsidR="00752F38">
        <w:rPr>
          <w:b/>
          <w:color w:val="auto"/>
          <w:sz w:val="28"/>
          <w:szCs w:val="28"/>
        </w:rPr>
        <w:t xml:space="preserve"> </w:t>
      </w:r>
      <w:r w:rsidRPr="00752F38">
        <w:rPr>
          <w:b/>
          <w:color w:val="auto"/>
          <w:sz w:val="28"/>
          <w:szCs w:val="28"/>
        </w:rPr>
        <w:t>Закону України</w:t>
      </w:r>
      <w:r w:rsidR="00752F38" w:rsidRPr="00752F38">
        <w:rPr>
          <w:b/>
          <w:color w:val="auto"/>
          <w:sz w:val="28"/>
          <w:szCs w:val="28"/>
        </w:rPr>
        <w:t xml:space="preserve"> </w:t>
      </w:r>
      <w:r w:rsidR="00752F38" w:rsidRPr="00752F38">
        <w:rPr>
          <w:b/>
          <w:bCs/>
          <w:sz w:val="28"/>
          <w:szCs w:val="28"/>
          <w:lang w:eastAsia="ru-RU"/>
        </w:rPr>
        <w:t>"</w:t>
      </w:r>
      <w:r w:rsidR="00752F38" w:rsidRPr="00752F38">
        <w:rPr>
          <w:b/>
          <w:bCs/>
          <w:sz w:val="28"/>
          <w:szCs w:val="28"/>
        </w:rPr>
        <w:t>Про внесення змін до деяких законодавчих актів України щодо підстав передачі справи на розгляд Великої Палати Верховного Суду та щодо строків повернення адміністративних справ</w:t>
      </w:r>
      <w:r w:rsidR="00752F38" w:rsidRPr="00752F38">
        <w:rPr>
          <w:b/>
          <w:bCs/>
          <w:sz w:val="28"/>
          <w:szCs w:val="28"/>
          <w:lang w:eastAsia="ru-RU"/>
        </w:rPr>
        <w:t>"</w:t>
      </w:r>
    </w:p>
    <w:p w:rsidR="00752F38" w:rsidRPr="00752F38" w:rsidRDefault="00752F38" w:rsidP="00752F38">
      <w:pPr>
        <w:jc w:val="center"/>
        <w:rPr>
          <w:sz w:val="28"/>
          <w:szCs w:val="28"/>
        </w:rPr>
      </w:pPr>
    </w:p>
    <w:p w:rsidR="006D1036" w:rsidRPr="006D1036" w:rsidRDefault="006D1036" w:rsidP="006D1036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E6435E" w:rsidRPr="00687DDD" w:rsidTr="00794E07">
        <w:tc>
          <w:tcPr>
            <w:tcW w:w="7564" w:type="dxa"/>
          </w:tcPr>
          <w:p w:rsidR="00E6435E" w:rsidRDefault="00E6435E" w:rsidP="00687DDD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64" w:type="dxa"/>
          </w:tcPr>
          <w:p w:rsidR="00E6435E" w:rsidRDefault="00E6435E" w:rsidP="00687DDD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Пропонована редакція</w:t>
            </w:r>
          </w:p>
        </w:tc>
      </w:tr>
      <w:tr w:rsidR="006D1036" w:rsidRPr="00687DDD" w:rsidTr="00BB6887">
        <w:tc>
          <w:tcPr>
            <w:tcW w:w="15128" w:type="dxa"/>
            <w:gridSpan w:val="2"/>
          </w:tcPr>
          <w:p w:rsidR="006D1036" w:rsidRPr="00687DDD" w:rsidRDefault="00752F38" w:rsidP="00687DDD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sz w:val="28"/>
                <w:szCs w:val="28"/>
              </w:rPr>
              <w:t>Господарський процесуальний</w:t>
            </w:r>
            <w:r w:rsidRPr="00523F59">
              <w:rPr>
                <w:b/>
                <w:sz w:val="28"/>
                <w:szCs w:val="28"/>
              </w:rPr>
              <w:t xml:space="preserve"> кодекс України</w:t>
            </w:r>
          </w:p>
        </w:tc>
      </w:tr>
      <w:tr w:rsidR="00982AE2" w:rsidTr="006D1036">
        <w:tc>
          <w:tcPr>
            <w:tcW w:w="7564" w:type="dxa"/>
          </w:tcPr>
          <w:p w:rsidR="00982AE2" w:rsidRPr="00E6435E" w:rsidRDefault="00982AE2" w:rsidP="00782D3B">
            <w:pPr>
              <w:shd w:val="clear" w:color="auto" w:fill="FFFFFF"/>
              <w:spacing w:before="120" w:after="120"/>
              <w:jc w:val="both"/>
              <w:rPr>
                <w:bCs/>
                <w:sz w:val="28"/>
                <w:szCs w:val="28"/>
              </w:rPr>
            </w:pPr>
            <w:r w:rsidRPr="003B36EB">
              <w:rPr>
                <w:bCs/>
                <w:sz w:val="28"/>
                <w:szCs w:val="28"/>
              </w:rPr>
              <w:t>Стаття 302.</w:t>
            </w:r>
            <w:r w:rsidRPr="0031209E">
              <w:rPr>
                <w:b/>
                <w:bCs/>
                <w:sz w:val="28"/>
                <w:szCs w:val="28"/>
              </w:rPr>
              <w:t xml:space="preserve"> </w:t>
            </w:r>
            <w:r w:rsidRPr="0031209E">
              <w:rPr>
                <w:bCs/>
                <w:sz w:val="28"/>
                <w:szCs w:val="28"/>
              </w:rPr>
              <w:t>Підстави для передачі справи на розгляд палати, об’єднаної палати або Великої Палати Верховного Суду</w:t>
            </w:r>
          </w:p>
        </w:tc>
        <w:tc>
          <w:tcPr>
            <w:tcW w:w="7564" w:type="dxa"/>
          </w:tcPr>
          <w:p w:rsidR="00982AE2" w:rsidRPr="00E6435E" w:rsidRDefault="00982AE2" w:rsidP="00782D3B">
            <w:pPr>
              <w:shd w:val="clear" w:color="auto" w:fill="FFFFFF"/>
              <w:spacing w:before="120"/>
              <w:jc w:val="both"/>
              <w:rPr>
                <w:bCs/>
                <w:sz w:val="28"/>
                <w:szCs w:val="28"/>
              </w:rPr>
            </w:pPr>
            <w:r w:rsidRPr="003B36EB">
              <w:rPr>
                <w:bCs/>
                <w:sz w:val="28"/>
                <w:szCs w:val="28"/>
              </w:rPr>
              <w:t>Стаття 302.</w:t>
            </w:r>
            <w:r w:rsidRPr="0031209E">
              <w:rPr>
                <w:b/>
                <w:bCs/>
                <w:sz w:val="28"/>
                <w:szCs w:val="28"/>
              </w:rPr>
              <w:t xml:space="preserve"> </w:t>
            </w:r>
            <w:r w:rsidRPr="0031209E">
              <w:rPr>
                <w:bCs/>
                <w:sz w:val="28"/>
                <w:szCs w:val="28"/>
              </w:rPr>
              <w:t>Підстави для передачі справи на розгляд палати, об’єднаної палати або Великої Палати Верховного Суду</w:t>
            </w:r>
          </w:p>
        </w:tc>
      </w:tr>
      <w:tr w:rsidR="00982AE2" w:rsidTr="006D1036">
        <w:tc>
          <w:tcPr>
            <w:tcW w:w="7564" w:type="dxa"/>
          </w:tcPr>
          <w:p w:rsidR="000F15C7" w:rsidRDefault="000F15C7" w:rsidP="00782D3B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82AE2" w:rsidRDefault="00982AE2" w:rsidP="00782D3B">
            <w:pPr>
              <w:spacing w:before="120"/>
              <w:jc w:val="both"/>
              <w:rPr>
                <w:b/>
                <w:bCs/>
                <w:sz w:val="28"/>
                <w:szCs w:val="28"/>
              </w:rPr>
            </w:pPr>
            <w:r w:rsidRPr="0031209E">
              <w:rPr>
                <w:sz w:val="28"/>
                <w:szCs w:val="28"/>
              </w:rPr>
              <w:t xml:space="preserve">6. Справа підлягає передачі на розгляд Великої Палати Верховного Суду </w:t>
            </w:r>
            <w:r w:rsidRPr="0031209E">
              <w:rPr>
                <w:b/>
                <w:sz w:val="28"/>
                <w:szCs w:val="28"/>
              </w:rPr>
              <w:t xml:space="preserve">у всіх випадках, </w:t>
            </w:r>
            <w:r w:rsidRPr="0031209E">
              <w:rPr>
                <w:sz w:val="28"/>
                <w:szCs w:val="28"/>
              </w:rPr>
              <w:t>коли учасник справи оскаржує судове рішення з підстав порушення правил предметної чи суб’єктної юрисдикції.</w:t>
            </w: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4E3D37" w:rsidRDefault="004E3D37" w:rsidP="00982AE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82AE2" w:rsidRPr="006D1036" w:rsidRDefault="00982AE2" w:rsidP="004E3D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564" w:type="dxa"/>
          </w:tcPr>
          <w:p w:rsidR="000F15C7" w:rsidRPr="000F15C7" w:rsidRDefault="000F15C7" w:rsidP="00982AE2">
            <w:pPr>
              <w:spacing w:before="120" w:after="120"/>
              <w:jc w:val="both"/>
              <w:rPr>
                <w:rFonts w:ascii="Roboto Condensed Light" w:hAnsi="Roboto Condensed Light"/>
                <w:bCs/>
                <w:color w:val="auto"/>
                <w:sz w:val="28"/>
                <w:szCs w:val="28"/>
                <w:lang w:eastAsia="ru-RU"/>
              </w:rPr>
            </w:pPr>
            <w:r w:rsidRPr="000F15C7">
              <w:rPr>
                <w:rFonts w:ascii="Roboto Condensed Light" w:hAnsi="Roboto Condensed Light"/>
                <w:bCs/>
                <w:color w:val="auto"/>
                <w:sz w:val="28"/>
                <w:szCs w:val="28"/>
                <w:lang w:eastAsia="ru-RU"/>
              </w:rPr>
              <w:lastRenderedPageBreak/>
              <w:t>…</w:t>
            </w:r>
          </w:p>
          <w:p w:rsidR="00982AE2" w:rsidRPr="00752F38" w:rsidRDefault="00982AE2" w:rsidP="00982AE2">
            <w:pPr>
              <w:spacing w:before="120" w:after="120"/>
              <w:jc w:val="both"/>
              <w:rPr>
                <w:b/>
                <w:bCs/>
                <w:color w:val="auto"/>
                <w:sz w:val="28"/>
                <w:szCs w:val="28"/>
                <w:shd w:val="solid" w:color="FFFFFF" w:fill="FFFFFF"/>
              </w:rPr>
            </w:pPr>
            <w:r w:rsidRPr="00752F38">
              <w:rPr>
                <w:rFonts w:ascii="Roboto Condensed Light" w:hAnsi="Roboto Condensed Light"/>
                <w:b/>
                <w:color w:val="auto"/>
                <w:sz w:val="28"/>
                <w:szCs w:val="28"/>
                <w:lang w:eastAsia="ru-RU"/>
              </w:rPr>
              <w:t xml:space="preserve">6. </w:t>
            </w:r>
            <w:r w:rsidRPr="00752F38">
              <w:rPr>
                <w:b/>
                <w:color w:val="auto"/>
                <w:sz w:val="28"/>
                <w:szCs w:val="28"/>
              </w:rPr>
              <w:t>Справа підлягає передачі на розгляд Великої Палати Верховного Суду коли учасник справи оскаржує судове рішення з підстав порушення правил предметної чи суб’єктної юрисдикції, крім випадків, якщо.</w:t>
            </w:r>
          </w:p>
          <w:p w:rsidR="00982AE2" w:rsidRPr="00752F38" w:rsidRDefault="00982AE2" w:rsidP="00782D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  <w:lang w:eastAsia="ru-RU"/>
              </w:rPr>
            </w:pP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 xml:space="preserve">1) 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учасник справи, який оскаржує судове рішення, при розгляді справи в судах першої чи апеляційної інстанції не заявляв про порушення 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правил предметної чи суб’єктної юрисдикції</w:t>
            </w:r>
            <w:r w:rsidRPr="00752F38">
              <w:rPr>
                <w:b/>
                <w:color w:val="auto"/>
                <w:sz w:val="28"/>
                <w:szCs w:val="28"/>
              </w:rPr>
              <w:t>;</w:t>
            </w:r>
          </w:p>
          <w:p w:rsidR="00982AE2" w:rsidRPr="00752F38" w:rsidRDefault="00982AE2" w:rsidP="00782D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</w:rPr>
            </w:pP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 xml:space="preserve">2) 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учасник справи, який оскаржує судове рішення, не обґрунтував порушення судом правил предметної 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чи суб’єктної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 юрисдикції наявністю судових рішень Верховного Суду у складі колегії суддів (палати, об’єднаної палати) іншого касаційного суду у справі з подібною підставою та предметом позову у подібних правовідносинах.</w:t>
            </w:r>
          </w:p>
          <w:p w:rsidR="00982AE2" w:rsidRDefault="00982AE2" w:rsidP="00782D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  <w:lang w:eastAsia="ru-RU"/>
              </w:rPr>
            </w:pPr>
            <w:r w:rsidRPr="00752F38">
              <w:rPr>
                <w:b/>
                <w:color w:val="auto"/>
                <w:sz w:val="28"/>
                <w:szCs w:val="28"/>
              </w:rPr>
              <w:lastRenderedPageBreak/>
              <w:t xml:space="preserve">3) Велика Палата Верховного Суду вже викладала у своїй постанові висновок щодо питання предметної 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чи суб’єктної юрисдикції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 спору у подібних правовідносинах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.</w:t>
            </w:r>
          </w:p>
          <w:p w:rsidR="00782D3B" w:rsidRPr="00782D3B" w:rsidRDefault="00782D3B" w:rsidP="004E3D3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82D3B">
              <w:rPr>
                <w:bCs/>
                <w:color w:val="auto"/>
                <w:sz w:val="28"/>
                <w:szCs w:val="28"/>
                <w:lang w:eastAsia="ru-RU"/>
              </w:rPr>
              <w:t>…</w:t>
            </w:r>
          </w:p>
        </w:tc>
      </w:tr>
      <w:tr w:rsidR="00982AE2" w:rsidRPr="00374FAC" w:rsidTr="0042150D">
        <w:tc>
          <w:tcPr>
            <w:tcW w:w="15128" w:type="dxa"/>
            <w:gridSpan w:val="2"/>
          </w:tcPr>
          <w:p w:rsidR="00982AE2" w:rsidRPr="00374FAC" w:rsidRDefault="00982AE2" w:rsidP="00982AE2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sz w:val="28"/>
                <w:szCs w:val="28"/>
              </w:rPr>
              <w:lastRenderedPageBreak/>
              <w:t>Цивільний</w:t>
            </w:r>
            <w:r w:rsidRPr="00523F59">
              <w:rPr>
                <w:b/>
                <w:sz w:val="28"/>
                <w:szCs w:val="28"/>
              </w:rPr>
              <w:t xml:space="preserve"> процесуальний кодекс України</w:t>
            </w:r>
          </w:p>
        </w:tc>
      </w:tr>
      <w:tr w:rsidR="00982AE2" w:rsidTr="006D1036">
        <w:tc>
          <w:tcPr>
            <w:tcW w:w="7564" w:type="dxa"/>
          </w:tcPr>
          <w:p w:rsidR="00982AE2" w:rsidRPr="00374FAC" w:rsidRDefault="00982AE2" w:rsidP="00782D3B">
            <w:pPr>
              <w:keepNext/>
              <w:keepLines/>
              <w:spacing w:before="120"/>
              <w:jc w:val="both"/>
              <w:rPr>
                <w:sz w:val="28"/>
                <w:szCs w:val="28"/>
              </w:rPr>
            </w:pPr>
            <w:r w:rsidRPr="003B36EB">
              <w:rPr>
                <w:sz w:val="28"/>
                <w:szCs w:val="28"/>
              </w:rPr>
              <w:t>Стаття 403.</w:t>
            </w:r>
            <w:r w:rsidRPr="0031209E">
              <w:rPr>
                <w:b/>
                <w:sz w:val="28"/>
                <w:szCs w:val="28"/>
              </w:rPr>
              <w:t xml:space="preserve"> </w:t>
            </w:r>
            <w:r w:rsidRPr="0031209E">
              <w:rPr>
                <w:sz w:val="28"/>
                <w:szCs w:val="28"/>
              </w:rPr>
              <w:t>Підстави для передачі справи на розгляд палати, об’єднаної палати або Великої Палати Верховного Суду</w:t>
            </w:r>
          </w:p>
        </w:tc>
        <w:tc>
          <w:tcPr>
            <w:tcW w:w="7564" w:type="dxa"/>
          </w:tcPr>
          <w:p w:rsidR="00982AE2" w:rsidRPr="00374FAC" w:rsidRDefault="00982AE2" w:rsidP="00782D3B">
            <w:pPr>
              <w:keepNext/>
              <w:keepLines/>
              <w:spacing w:before="120" w:after="120"/>
              <w:jc w:val="both"/>
              <w:rPr>
                <w:sz w:val="28"/>
                <w:szCs w:val="28"/>
              </w:rPr>
            </w:pPr>
            <w:r w:rsidRPr="003B36EB">
              <w:rPr>
                <w:sz w:val="28"/>
                <w:szCs w:val="28"/>
              </w:rPr>
              <w:t>Стаття 403.</w:t>
            </w:r>
            <w:r w:rsidRPr="0031209E">
              <w:rPr>
                <w:b/>
                <w:sz w:val="28"/>
                <w:szCs w:val="28"/>
              </w:rPr>
              <w:t xml:space="preserve"> </w:t>
            </w:r>
            <w:r w:rsidRPr="0031209E">
              <w:rPr>
                <w:sz w:val="28"/>
                <w:szCs w:val="28"/>
              </w:rPr>
              <w:t>Підстави для передачі справи на розгляд палати, об’єднаної палати або Великої Палати Верховного Суду</w:t>
            </w:r>
          </w:p>
        </w:tc>
      </w:tr>
      <w:tr w:rsidR="00982AE2" w:rsidTr="006D1036">
        <w:tc>
          <w:tcPr>
            <w:tcW w:w="7564" w:type="dxa"/>
          </w:tcPr>
          <w:p w:rsidR="000F15C7" w:rsidRDefault="000F15C7" w:rsidP="004E3D37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82AE2" w:rsidRDefault="00982AE2" w:rsidP="00982AE2">
            <w:pPr>
              <w:jc w:val="both"/>
              <w:rPr>
                <w:b/>
                <w:bCs/>
                <w:sz w:val="28"/>
                <w:szCs w:val="28"/>
              </w:rPr>
            </w:pPr>
            <w:r w:rsidRPr="0031209E">
              <w:rPr>
                <w:sz w:val="28"/>
                <w:szCs w:val="28"/>
              </w:rPr>
              <w:t xml:space="preserve">6. Справа підлягає передачі на розгляд Великої Палати Верховного Суду </w:t>
            </w:r>
            <w:r w:rsidRPr="0031209E">
              <w:rPr>
                <w:b/>
                <w:sz w:val="28"/>
                <w:szCs w:val="28"/>
              </w:rPr>
              <w:t xml:space="preserve">у всіх випадках, </w:t>
            </w:r>
            <w:r w:rsidRPr="0031209E">
              <w:rPr>
                <w:sz w:val="28"/>
                <w:szCs w:val="28"/>
              </w:rPr>
              <w:t>коли учасник справи оскаржує судове рішення з підстав порушення правил предметної чи суб’єктної юрисдикції.</w:t>
            </w:r>
          </w:p>
          <w:p w:rsidR="00982AE2" w:rsidRPr="00374FAC" w:rsidRDefault="00982AE2" w:rsidP="00982AE2">
            <w:pPr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7564" w:type="dxa"/>
          </w:tcPr>
          <w:p w:rsidR="000F15C7" w:rsidRPr="000F15C7" w:rsidRDefault="000F15C7" w:rsidP="004E3D37">
            <w:pPr>
              <w:spacing w:before="120"/>
              <w:jc w:val="both"/>
              <w:rPr>
                <w:rFonts w:ascii="Roboto Condensed Light" w:hAnsi="Roboto Condensed Light"/>
                <w:bCs/>
                <w:color w:val="auto"/>
                <w:sz w:val="28"/>
                <w:szCs w:val="28"/>
                <w:lang w:eastAsia="ru-RU"/>
              </w:rPr>
            </w:pPr>
            <w:r w:rsidRPr="000F15C7">
              <w:rPr>
                <w:rFonts w:ascii="Roboto Condensed Light" w:hAnsi="Roboto Condensed Light"/>
                <w:bCs/>
                <w:color w:val="auto"/>
                <w:sz w:val="28"/>
                <w:szCs w:val="28"/>
                <w:lang w:eastAsia="ru-RU"/>
              </w:rPr>
              <w:t>…</w:t>
            </w:r>
          </w:p>
          <w:p w:rsidR="00982AE2" w:rsidRPr="00752F38" w:rsidRDefault="00982AE2" w:rsidP="000F15C7">
            <w:pPr>
              <w:spacing w:after="120"/>
              <w:jc w:val="both"/>
              <w:rPr>
                <w:b/>
                <w:bCs/>
                <w:color w:val="auto"/>
                <w:sz w:val="28"/>
                <w:szCs w:val="28"/>
                <w:shd w:val="solid" w:color="FFFFFF" w:fill="FFFFFF"/>
              </w:rPr>
            </w:pPr>
            <w:r w:rsidRPr="00752F38">
              <w:rPr>
                <w:rFonts w:ascii="Roboto Condensed Light" w:hAnsi="Roboto Condensed Light"/>
                <w:b/>
                <w:color w:val="auto"/>
                <w:sz w:val="28"/>
                <w:szCs w:val="28"/>
                <w:lang w:eastAsia="ru-RU"/>
              </w:rPr>
              <w:t xml:space="preserve">6. </w:t>
            </w:r>
            <w:r w:rsidRPr="00752F38">
              <w:rPr>
                <w:b/>
                <w:color w:val="auto"/>
                <w:sz w:val="28"/>
                <w:szCs w:val="28"/>
              </w:rPr>
              <w:t>Справа підлягає передачі на розгляд Великої Палати Верховного Суду коли учасник справи оскаржує судове рішення з підстав порушення правил предметної чи суб’єктної юрисдикції, крім випадків, якщо.</w:t>
            </w:r>
          </w:p>
          <w:p w:rsidR="00982AE2" w:rsidRPr="00752F38" w:rsidRDefault="00982AE2" w:rsidP="00782D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  <w:lang w:eastAsia="ru-RU"/>
              </w:rPr>
            </w:pP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 xml:space="preserve">1) 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учасник справи, який оскаржує судове рішення, при розгляді справи в судах першої чи апеляційної інстанції не заявляв про порушення 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правил предметної чи суб’єктної юрисдикції</w:t>
            </w:r>
            <w:r w:rsidRPr="00752F38">
              <w:rPr>
                <w:b/>
                <w:color w:val="auto"/>
                <w:sz w:val="28"/>
                <w:szCs w:val="28"/>
              </w:rPr>
              <w:t>;</w:t>
            </w:r>
          </w:p>
          <w:p w:rsidR="00982AE2" w:rsidRPr="00752F38" w:rsidRDefault="00982AE2" w:rsidP="00782D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</w:rPr>
            </w:pP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 xml:space="preserve">2) 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учасник справи, який оскаржує судове рішення, не обґрунтував порушення судом правил предметної 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чи суб’єктної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 юрисдикції наявністю судових рішень Верховного Суду у складі колегії суддів (палати, об’єднаної палати) іншого касаційного суду у справі з подібною підставою та предметом позову у подібних правовідносинах.</w:t>
            </w:r>
          </w:p>
          <w:p w:rsidR="00782D3B" w:rsidRPr="00782D3B" w:rsidRDefault="00982AE2" w:rsidP="00782D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  <w:lang w:eastAsia="ru-RU"/>
              </w:rPr>
            </w:pPr>
            <w:r w:rsidRPr="00752F38">
              <w:rPr>
                <w:b/>
                <w:color w:val="auto"/>
                <w:sz w:val="28"/>
                <w:szCs w:val="28"/>
              </w:rPr>
              <w:lastRenderedPageBreak/>
              <w:t xml:space="preserve">3) Велика Палата Верховного Суду вже викладала у своїй постанові висновок щодо питання предметної 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чи суб’єктної юрисдикції</w:t>
            </w:r>
            <w:r w:rsidRPr="00752F38">
              <w:rPr>
                <w:b/>
                <w:color w:val="auto"/>
                <w:sz w:val="28"/>
                <w:szCs w:val="28"/>
              </w:rPr>
              <w:t xml:space="preserve"> спору у подібних правовідносинах</w:t>
            </w:r>
            <w:r w:rsidRPr="00752F38">
              <w:rPr>
                <w:b/>
                <w:color w:val="auto"/>
                <w:sz w:val="28"/>
                <w:szCs w:val="28"/>
                <w:lang w:eastAsia="ru-RU"/>
              </w:rPr>
              <w:t>.</w:t>
            </w:r>
          </w:p>
        </w:tc>
      </w:tr>
      <w:tr w:rsidR="00E6435E" w:rsidTr="00C74EDD">
        <w:tc>
          <w:tcPr>
            <w:tcW w:w="15128" w:type="dxa"/>
            <w:gridSpan w:val="2"/>
          </w:tcPr>
          <w:p w:rsidR="00E6435E" w:rsidRDefault="00E6435E" w:rsidP="00E6435E">
            <w:pPr>
              <w:spacing w:before="120" w:after="120"/>
              <w:jc w:val="center"/>
              <w:rPr>
                <w:rFonts w:ascii="Roboto Condensed Light" w:hAnsi="Roboto Condensed Light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Кодекс</w:t>
            </w:r>
            <w:r w:rsidRPr="003B36EB">
              <w:rPr>
                <w:b/>
                <w:bCs/>
                <w:sz w:val="28"/>
                <w:szCs w:val="28"/>
              </w:rPr>
              <w:t xml:space="preserve"> адміністративного судочинства України</w:t>
            </w:r>
          </w:p>
        </w:tc>
      </w:tr>
      <w:tr w:rsidR="000F15C7" w:rsidTr="006D1036">
        <w:tc>
          <w:tcPr>
            <w:tcW w:w="7564" w:type="dxa"/>
          </w:tcPr>
          <w:p w:rsidR="000F15C7" w:rsidRPr="000F15C7" w:rsidRDefault="000F15C7" w:rsidP="004E3D37">
            <w:pPr>
              <w:shd w:val="clear" w:color="auto" w:fill="FFFFFF"/>
              <w:spacing w:before="120" w:after="120"/>
              <w:ind w:firstLine="2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Стаття 326. </w:t>
            </w:r>
            <w:r w:rsidRPr="0074367B">
              <w:rPr>
                <w:b/>
                <w:sz w:val="28"/>
                <w:szCs w:val="28"/>
              </w:rPr>
              <w:t>Повернення адміністративної справи</w:t>
            </w:r>
          </w:p>
        </w:tc>
        <w:tc>
          <w:tcPr>
            <w:tcW w:w="7564" w:type="dxa"/>
          </w:tcPr>
          <w:p w:rsidR="000F15C7" w:rsidRPr="000F15C7" w:rsidRDefault="000F15C7" w:rsidP="004E3D37">
            <w:pPr>
              <w:shd w:val="clear" w:color="auto" w:fill="FFFFFF"/>
              <w:spacing w:before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Стаття 326. </w:t>
            </w:r>
            <w:r w:rsidRPr="0074367B">
              <w:rPr>
                <w:b/>
                <w:sz w:val="28"/>
                <w:szCs w:val="28"/>
              </w:rPr>
              <w:t>Повернення адміністративної справи</w:t>
            </w:r>
          </w:p>
        </w:tc>
      </w:tr>
      <w:tr w:rsidR="000F15C7" w:rsidTr="006D1036">
        <w:tc>
          <w:tcPr>
            <w:tcW w:w="7564" w:type="dxa"/>
          </w:tcPr>
          <w:p w:rsidR="000F15C7" w:rsidRPr="000F15C7" w:rsidRDefault="000F15C7" w:rsidP="004E3D37">
            <w:pPr>
              <w:shd w:val="clear" w:color="auto" w:fill="FFFFFF"/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74367B">
              <w:rPr>
                <w:b/>
                <w:sz w:val="28"/>
                <w:szCs w:val="28"/>
              </w:rPr>
              <w:t>1. Після закінчення апеляційного провадження матеріали справи, крім тих, що зберігаються виключно в електронній формі, повертаються до суду першої інстанції, який її розглядав, у п’ятиденний строк з дня вручення постанови (ухвали) учасникам справи.</w:t>
            </w:r>
          </w:p>
        </w:tc>
        <w:tc>
          <w:tcPr>
            <w:tcW w:w="7564" w:type="dxa"/>
          </w:tcPr>
          <w:p w:rsidR="000F15C7" w:rsidRDefault="000F15C7" w:rsidP="004E3D37">
            <w:pPr>
              <w:shd w:val="clear" w:color="auto" w:fill="FFFFFF"/>
              <w:spacing w:before="120"/>
              <w:jc w:val="both"/>
              <w:rPr>
                <w:b/>
                <w:bCs/>
                <w:sz w:val="28"/>
                <w:szCs w:val="28"/>
              </w:rPr>
            </w:pPr>
            <w:r w:rsidRPr="00982AE2">
              <w:rPr>
                <w:b/>
                <w:sz w:val="28"/>
                <w:szCs w:val="28"/>
              </w:rPr>
              <w:t xml:space="preserve">1. </w:t>
            </w:r>
            <w:r w:rsidRPr="00982AE2">
              <w:rPr>
                <w:b/>
                <w:sz w:val="28"/>
                <w:szCs w:val="28"/>
                <w:shd w:val="clear" w:color="auto" w:fill="FFFFFF"/>
              </w:rPr>
              <w:t>Після закінчення апеляційного провадження матеріали справи, крім тих, що зберігаються виключно в електронній формі, у п’ятиденний строк повертаються до суду першої інстанції, який її розглядав, якщо інше не випливає із судового рішення суду апеляційної інстанції</w:t>
            </w:r>
          </w:p>
        </w:tc>
      </w:tr>
      <w:tr w:rsidR="000F15C7" w:rsidTr="00785783">
        <w:tc>
          <w:tcPr>
            <w:tcW w:w="7564" w:type="dxa"/>
          </w:tcPr>
          <w:p w:rsidR="000F15C7" w:rsidRPr="0031209E" w:rsidRDefault="000F15C7" w:rsidP="00785783">
            <w:pPr>
              <w:shd w:val="clear" w:color="auto" w:fill="FFFFFF"/>
              <w:spacing w:before="120"/>
              <w:jc w:val="both"/>
              <w:rPr>
                <w:sz w:val="28"/>
                <w:szCs w:val="28"/>
              </w:rPr>
            </w:pPr>
            <w:r w:rsidRPr="003B36EB">
              <w:rPr>
                <w:sz w:val="28"/>
                <w:szCs w:val="28"/>
              </w:rPr>
              <w:t>Стаття 346. Підстави для передачі справи на розгляд палати, об’єднаної палати або Великої Палати Верховного Суду</w:t>
            </w:r>
          </w:p>
        </w:tc>
        <w:tc>
          <w:tcPr>
            <w:tcW w:w="7564" w:type="dxa"/>
          </w:tcPr>
          <w:p w:rsidR="000F15C7" w:rsidRPr="00782D3B" w:rsidRDefault="000F15C7" w:rsidP="00785783">
            <w:pPr>
              <w:shd w:val="clear" w:color="auto" w:fill="FFFFFF"/>
              <w:spacing w:before="120" w:after="120"/>
              <w:jc w:val="both"/>
              <w:rPr>
                <w:sz w:val="28"/>
                <w:szCs w:val="28"/>
              </w:rPr>
            </w:pPr>
            <w:r w:rsidRPr="003B36EB">
              <w:rPr>
                <w:sz w:val="28"/>
                <w:szCs w:val="28"/>
              </w:rPr>
              <w:t>Стаття 346. Підстави для передачі справи на розгляд палати, об’єднаної палати або Великої Палати Верховного Суду</w:t>
            </w:r>
          </w:p>
        </w:tc>
      </w:tr>
      <w:tr w:rsidR="00982AE2" w:rsidTr="006D1036">
        <w:tc>
          <w:tcPr>
            <w:tcW w:w="7564" w:type="dxa"/>
          </w:tcPr>
          <w:p w:rsidR="000F15C7" w:rsidRDefault="000F15C7" w:rsidP="000F15C7">
            <w:pPr>
              <w:spacing w:before="120" w:after="120"/>
              <w:jc w:val="both"/>
              <w:rPr>
                <w:sz w:val="28"/>
                <w:szCs w:val="28"/>
              </w:rPr>
            </w:pPr>
            <w:bookmarkStart w:id="1" w:name="n12123"/>
            <w:bookmarkEnd w:id="1"/>
            <w:r>
              <w:rPr>
                <w:sz w:val="28"/>
                <w:szCs w:val="28"/>
              </w:rPr>
              <w:t>…</w:t>
            </w:r>
          </w:p>
          <w:p w:rsidR="0074367B" w:rsidRDefault="0074367B" w:rsidP="0074367B">
            <w:pPr>
              <w:jc w:val="both"/>
              <w:rPr>
                <w:b/>
                <w:bCs/>
                <w:sz w:val="28"/>
                <w:szCs w:val="28"/>
              </w:rPr>
            </w:pPr>
            <w:r w:rsidRPr="0031209E">
              <w:rPr>
                <w:sz w:val="28"/>
                <w:szCs w:val="28"/>
              </w:rPr>
              <w:t xml:space="preserve">6. Справа підлягає передачі на розгляд Великої Палати Верховного Суду </w:t>
            </w:r>
            <w:r w:rsidRPr="0031209E">
              <w:rPr>
                <w:b/>
                <w:sz w:val="28"/>
                <w:szCs w:val="28"/>
              </w:rPr>
              <w:t xml:space="preserve">у всіх випадках, </w:t>
            </w:r>
            <w:r w:rsidRPr="0031209E">
              <w:rPr>
                <w:sz w:val="28"/>
                <w:szCs w:val="28"/>
              </w:rPr>
              <w:t>коли учасник справи оскаржує судове рішення з підстав порушення</w:t>
            </w:r>
            <w:r>
              <w:rPr>
                <w:sz w:val="28"/>
                <w:szCs w:val="28"/>
              </w:rPr>
              <w:t xml:space="preserve"> правил предметної</w:t>
            </w:r>
            <w:r w:rsidRPr="0031209E">
              <w:rPr>
                <w:sz w:val="28"/>
                <w:szCs w:val="28"/>
              </w:rPr>
              <w:t xml:space="preserve"> юрисдикції.</w:t>
            </w: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74367B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</w:rPr>
            </w:pPr>
          </w:p>
          <w:p w:rsidR="0074367B" w:rsidRDefault="0074367B" w:rsidP="000F15C7">
            <w:pPr>
              <w:shd w:val="clear" w:color="auto" w:fill="FFFFFF"/>
              <w:spacing w:after="150"/>
              <w:jc w:val="both"/>
              <w:rPr>
                <w:b/>
                <w:bCs/>
              </w:rPr>
            </w:pPr>
          </w:p>
          <w:p w:rsidR="00982AE2" w:rsidRPr="0031209E" w:rsidRDefault="00982AE2" w:rsidP="000F15C7">
            <w:pPr>
              <w:shd w:val="clear" w:color="auto" w:fill="FFFFFF"/>
              <w:spacing w:after="150"/>
              <w:jc w:val="both"/>
              <w:rPr>
                <w:sz w:val="28"/>
                <w:szCs w:val="28"/>
              </w:rPr>
            </w:pPr>
          </w:p>
        </w:tc>
        <w:tc>
          <w:tcPr>
            <w:tcW w:w="7564" w:type="dxa"/>
          </w:tcPr>
          <w:p w:rsidR="00982AE2" w:rsidRPr="000F15C7" w:rsidRDefault="000F15C7" w:rsidP="000F15C7">
            <w:pPr>
              <w:spacing w:before="120" w:after="120"/>
              <w:jc w:val="both"/>
              <w:rPr>
                <w:bCs/>
                <w:sz w:val="28"/>
                <w:szCs w:val="28"/>
              </w:rPr>
            </w:pPr>
            <w:r w:rsidRPr="000F15C7">
              <w:rPr>
                <w:bCs/>
                <w:sz w:val="28"/>
                <w:szCs w:val="28"/>
                <w:lang w:eastAsia="ru-RU"/>
              </w:rPr>
              <w:lastRenderedPageBreak/>
              <w:t>…</w:t>
            </w:r>
          </w:p>
          <w:p w:rsidR="00982AE2" w:rsidRPr="00982AE2" w:rsidRDefault="00982AE2" w:rsidP="000F15C7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982AE2">
              <w:rPr>
                <w:rFonts w:ascii="Roboto Condensed Light" w:hAnsi="Roboto Condensed Light"/>
                <w:color w:val="auto"/>
                <w:sz w:val="28"/>
                <w:szCs w:val="28"/>
                <w:lang w:eastAsia="ru-RU"/>
              </w:rPr>
              <w:t>6. Справа підлягає передачі на розгляд Великої Палати Верховного Суду, коли учасник справи оскаржує судове рішення з підстав порушення правил предметної юрисдикції</w:t>
            </w:r>
            <w:r w:rsidRPr="00982AE2">
              <w:rPr>
                <w:b/>
                <w:sz w:val="28"/>
                <w:szCs w:val="28"/>
              </w:rPr>
              <w:t>, крім випадків, якщо:</w:t>
            </w:r>
          </w:p>
          <w:p w:rsidR="00982AE2" w:rsidRPr="00982AE2" w:rsidRDefault="00982AE2" w:rsidP="000F15C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hanging="24"/>
              <w:jc w:val="both"/>
              <w:rPr>
                <w:b/>
                <w:color w:val="auto"/>
                <w:sz w:val="28"/>
                <w:szCs w:val="28"/>
                <w:lang w:eastAsia="ru-RU"/>
              </w:rPr>
            </w:pPr>
            <w:r w:rsidRPr="00982AE2">
              <w:rPr>
                <w:b/>
                <w:color w:val="auto"/>
                <w:sz w:val="28"/>
                <w:szCs w:val="28"/>
                <w:lang w:eastAsia="ru-RU"/>
              </w:rPr>
              <w:t xml:space="preserve">1) </w:t>
            </w:r>
            <w:r w:rsidRPr="00982AE2">
              <w:rPr>
                <w:b/>
                <w:color w:val="auto"/>
                <w:sz w:val="28"/>
                <w:szCs w:val="28"/>
              </w:rPr>
              <w:t xml:space="preserve">учасник справи, який оскаржує судове рішення, при розгляді справи в судах першої чи апеляційної інстанції не заявляв про порушення </w:t>
            </w:r>
            <w:r w:rsidRPr="00982AE2">
              <w:rPr>
                <w:b/>
                <w:color w:val="auto"/>
                <w:sz w:val="28"/>
                <w:szCs w:val="28"/>
                <w:lang w:eastAsia="ru-RU"/>
              </w:rPr>
              <w:t>правил предметної юрисдикції</w:t>
            </w:r>
            <w:r w:rsidRPr="00982AE2">
              <w:rPr>
                <w:b/>
                <w:color w:val="auto"/>
                <w:sz w:val="28"/>
                <w:szCs w:val="28"/>
              </w:rPr>
              <w:t>;</w:t>
            </w:r>
          </w:p>
          <w:p w:rsidR="00982AE2" w:rsidRPr="00982AE2" w:rsidRDefault="00982AE2" w:rsidP="000F15C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</w:rPr>
            </w:pPr>
            <w:r w:rsidRPr="00982AE2">
              <w:rPr>
                <w:b/>
                <w:color w:val="auto"/>
                <w:sz w:val="28"/>
                <w:szCs w:val="28"/>
                <w:lang w:eastAsia="ru-RU"/>
              </w:rPr>
              <w:t xml:space="preserve">2) </w:t>
            </w:r>
            <w:r w:rsidRPr="00982AE2">
              <w:rPr>
                <w:b/>
                <w:color w:val="auto"/>
                <w:sz w:val="28"/>
                <w:szCs w:val="28"/>
              </w:rPr>
              <w:t xml:space="preserve">учасник справи, який оскаржує судове рішення, не обґрунтував порушення судом правил предметної </w:t>
            </w:r>
            <w:r w:rsidRPr="00982AE2">
              <w:rPr>
                <w:b/>
                <w:color w:val="auto"/>
                <w:sz w:val="28"/>
                <w:szCs w:val="28"/>
              </w:rPr>
              <w:lastRenderedPageBreak/>
              <w:t>юрисдикції наявністю судових рішень Верховного Суду у складі колегії суддів (палати, об’єднаної палати) іншого касаційного суду у справі з подібною підставою та предметом позову у подібних правовідносинах.</w:t>
            </w:r>
          </w:p>
          <w:p w:rsidR="00982AE2" w:rsidRPr="000F15C7" w:rsidRDefault="00982AE2" w:rsidP="000F15C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b/>
                <w:color w:val="auto"/>
                <w:sz w:val="28"/>
                <w:szCs w:val="28"/>
                <w:lang w:eastAsia="ru-RU"/>
              </w:rPr>
            </w:pPr>
            <w:r w:rsidRPr="00982AE2">
              <w:rPr>
                <w:b/>
                <w:color w:val="auto"/>
                <w:sz w:val="28"/>
                <w:szCs w:val="28"/>
              </w:rPr>
              <w:t xml:space="preserve">3) Велика Палата Верховного Суду вже викладала у своїй постанові висновок щодо питання предметної </w:t>
            </w:r>
            <w:r w:rsidRPr="00982AE2">
              <w:rPr>
                <w:b/>
                <w:color w:val="auto"/>
                <w:sz w:val="28"/>
                <w:szCs w:val="28"/>
                <w:lang w:eastAsia="ru-RU"/>
              </w:rPr>
              <w:t>юрисдикції</w:t>
            </w:r>
            <w:r w:rsidRPr="00982AE2">
              <w:rPr>
                <w:b/>
                <w:color w:val="auto"/>
                <w:sz w:val="28"/>
                <w:szCs w:val="28"/>
              </w:rPr>
              <w:t xml:space="preserve"> спору у подібних правовідносинах</w:t>
            </w:r>
            <w:r w:rsidR="0074367B">
              <w:rPr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0F15C7" w:rsidTr="006D1036">
        <w:tc>
          <w:tcPr>
            <w:tcW w:w="7564" w:type="dxa"/>
          </w:tcPr>
          <w:p w:rsidR="000F15C7" w:rsidRPr="000F15C7" w:rsidRDefault="000F15C7" w:rsidP="004E3D37">
            <w:pPr>
              <w:shd w:val="clear" w:color="auto" w:fill="FFFFFF"/>
              <w:spacing w:before="120" w:after="120"/>
              <w:ind w:firstLine="2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Стаття 360. </w:t>
            </w:r>
            <w:r w:rsidRPr="0074367B">
              <w:rPr>
                <w:b/>
                <w:sz w:val="28"/>
                <w:szCs w:val="28"/>
              </w:rPr>
              <w:t>Повернення адміністративної справи</w:t>
            </w:r>
          </w:p>
        </w:tc>
        <w:tc>
          <w:tcPr>
            <w:tcW w:w="7564" w:type="dxa"/>
          </w:tcPr>
          <w:p w:rsidR="000F15C7" w:rsidRPr="000F15C7" w:rsidRDefault="000F15C7" w:rsidP="004E3D37">
            <w:pPr>
              <w:shd w:val="clear" w:color="auto" w:fill="FFFFFF"/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Стаття 360. </w:t>
            </w:r>
            <w:r w:rsidRPr="0074367B">
              <w:rPr>
                <w:b/>
                <w:sz w:val="28"/>
                <w:szCs w:val="28"/>
              </w:rPr>
              <w:t>Повернення адміністративної справи</w:t>
            </w:r>
          </w:p>
        </w:tc>
      </w:tr>
      <w:tr w:rsidR="000F15C7" w:rsidTr="006D1036">
        <w:tc>
          <w:tcPr>
            <w:tcW w:w="7564" w:type="dxa"/>
          </w:tcPr>
          <w:p w:rsidR="000F15C7" w:rsidRPr="000F15C7" w:rsidRDefault="000F15C7" w:rsidP="004E3D37">
            <w:pPr>
              <w:shd w:val="clear" w:color="auto" w:fill="FFFFFF"/>
              <w:spacing w:before="120" w:after="150"/>
              <w:ind w:firstLine="22"/>
              <w:jc w:val="both"/>
              <w:rPr>
                <w:b/>
                <w:sz w:val="28"/>
                <w:szCs w:val="28"/>
              </w:rPr>
            </w:pPr>
            <w:bookmarkStart w:id="2" w:name="n12370"/>
            <w:bookmarkEnd w:id="2"/>
            <w:r w:rsidRPr="0074367B">
              <w:rPr>
                <w:b/>
                <w:sz w:val="28"/>
                <w:szCs w:val="28"/>
              </w:rPr>
              <w:t>1. Після закінчення касаційного провадження матеріали справи, крім тих, що зберігаються виключно в електронній формі, повертаються до суду першої інстанції, який її розглядав, у десятиденний строк з дня вручення постанови (ухвали) учасникам справи.</w:t>
            </w:r>
          </w:p>
        </w:tc>
        <w:tc>
          <w:tcPr>
            <w:tcW w:w="7564" w:type="dxa"/>
          </w:tcPr>
          <w:p w:rsidR="000F15C7" w:rsidRPr="000F15C7" w:rsidRDefault="000F15C7" w:rsidP="004E3D37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982AE2">
              <w:rPr>
                <w:b/>
                <w:sz w:val="28"/>
                <w:szCs w:val="28"/>
                <w:shd w:val="clear" w:color="auto" w:fill="FFFFFF"/>
              </w:rPr>
              <w:t>1. Після закінчення касаційного провадження матеріали справи, крім тих, що зберігаються виключно в електронній формі, у десятиденний строк повертаються до суду першої інстанції, який її розглядав, якщо інше не випливає із судового рішення суду касаційної інстанції</w:t>
            </w:r>
            <w:r w:rsidRPr="00982AE2">
              <w:rPr>
                <w:b/>
                <w:sz w:val="28"/>
                <w:szCs w:val="28"/>
              </w:rPr>
              <w:t>.</w:t>
            </w:r>
          </w:p>
        </w:tc>
      </w:tr>
    </w:tbl>
    <w:p w:rsidR="006D1036" w:rsidRPr="006D1036" w:rsidRDefault="006D1036" w:rsidP="006D1036"/>
    <w:p w:rsidR="00390F8B" w:rsidRDefault="00390F8B">
      <w:pPr>
        <w:rPr>
          <w:sz w:val="28"/>
          <w:szCs w:val="28"/>
        </w:rPr>
      </w:pPr>
    </w:p>
    <w:p w:rsidR="00390F8B" w:rsidRDefault="00390F8B">
      <w:pPr>
        <w:rPr>
          <w:sz w:val="28"/>
          <w:szCs w:val="28"/>
        </w:rPr>
      </w:pPr>
    </w:p>
    <w:p w:rsidR="004E3D37" w:rsidRDefault="004E3D37">
      <w:pPr>
        <w:rPr>
          <w:sz w:val="28"/>
          <w:szCs w:val="28"/>
        </w:rPr>
      </w:pPr>
    </w:p>
    <w:p w:rsidR="00574C8E" w:rsidRPr="00390F8B" w:rsidRDefault="00390F8B" w:rsidP="00390F8B">
      <w:pPr>
        <w:ind w:left="1416" w:firstLine="708"/>
        <w:rPr>
          <w:b/>
          <w:sz w:val="28"/>
          <w:szCs w:val="28"/>
        </w:rPr>
      </w:pPr>
      <w:r w:rsidRPr="00390F8B">
        <w:rPr>
          <w:b/>
          <w:sz w:val="28"/>
          <w:szCs w:val="28"/>
        </w:rPr>
        <w:t>Керівник Офісу</w:t>
      </w:r>
    </w:p>
    <w:p w:rsidR="00390F8B" w:rsidRPr="00390F8B" w:rsidRDefault="00390F8B">
      <w:pPr>
        <w:rPr>
          <w:b/>
          <w:sz w:val="28"/>
          <w:szCs w:val="28"/>
        </w:rPr>
      </w:pPr>
      <w:r w:rsidRPr="00390F8B">
        <w:rPr>
          <w:b/>
          <w:sz w:val="28"/>
          <w:szCs w:val="28"/>
        </w:rPr>
        <w:tab/>
      </w:r>
      <w:r w:rsidRPr="00390F8B">
        <w:rPr>
          <w:b/>
          <w:sz w:val="28"/>
          <w:szCs w:val="28"/>
        </w:rPr>
        <w:tab/>
      </w:r>
      <w:r w:rsidRPr="00390F8B">
        <w:rPr>
          <w:b/>
          <w:sz w:val="28"/>
          <w:szCs w:val="28"/>
        </w:rPr>
        <w:tab/>
        <w:t xml:space="preserve">Президента України                                                                  </w:t>
      </w:r>
      <w:r w:rsidR="0074367B">
        <w:rPr>
          <w:b/>
          <w:sz w:val="28"/>
          <w:szCs w:val="28"/>
        </w:rPr>
        <w:t xml:space="preserve">                     </w:t>
      </w:r>
      <w:r w:rsidRPr="00390F8B">
        <w:rPr>
          <w:b/>
          <w:sz w:val="28"/>
          <w:szCs w:val="28"/>
        </w:rPr>
        <w:t xml:space="preserve">   А.БОГДАН</w:t>
      </w:r>
    </w:p>
    <w:sectPr w:rsidR="00390F8B" w:rsidRPr="00390F8B" w:rsidSect="00CD0621">
      <w:headerReference w:type="default" r:id="rId6"/>
      <w:pgSz w:w="16838" w:h="11906" w:orient="landscape"/>
      <w:pgMar w:top="850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A0" w:rsidRDefault="002627A0" w:rsidP="00CD0621">
      <w:r>
        <w:separator/>
      </w:r>
    </w:p>
  </w:endnote>
  <w:endnote w:type="continuationSeparator" w:id="0">
    <w:p w:rsidR="002627A0" w:rsidRDefault="002627A0" w:rsidP="00CD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 Condensed Light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A0" w:rsidRDefault="002627A0" w:rsidP="00CD0621">
      <w:r>
        <w:separator/>
      </w:r>
    </w:p>
  </w:footnote>
  <w:footnote w:type="continuationSeparator" w:id="0">
    <w:p w:rsidR="002627A0" w:rsidRDefault="002627A0" w:rsidP="00CD0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3412681"/>
      <w:docPartObj>
        <w:docPartGallery w:val="Page Numbers (Top of Page)"/>
        <w:docPartUnique/>
      </w:docPartObj>
    </w:sdtPr>
    <w:sdtEndPr/>
    <w:sdtContent>
      <w:p w:rsidR="00CD0621" w:rsidRDefault="00CD0621">
        <w:pPr>
          <w:pStyle w:val="a7"/>
          <w:jc w:val="center"/>
        </w:pPr>
        <w:r w:rsidRPr="00CD0621">
          <w:rPr>
            <w:sz w:val="28"/>
            <w:szCs w:val="28"/>
          </w:rPr>
          <w:fldChar w:fldCharType="begin"/>
        </w:r>
        <w:r w:rsidRPr="00CD0621">
          <w:rPr>
            <w:sz w:val="28"/>
            <w:szCs w:val="28"/>
          </w:rPr>
          <w:instrText>PAGE   \* MERGEFORMAT</w:instrText>
        </w:r>
        <w:r w:rsidRPr="00CD0621">
          <w:rPr>
            <w:sz w:val="28"/>
            <w:szCs w:val="28"/>
          </w:rPr>
          <w:fldChar w:fldCharType="separate"/>
        </w:r>
        <w:r w:rsidR="007A53E2">
          <w:rPr>
            <w:noProof/>
            <w:sz w:val="28"/>
            <w:szCs w:val="28"/>
          </w:rPr>
          <w:t>4</w:t>
        </w:r>
        <w:r w:rsidRPr="00CD0621">
          <w:rPr>
            <w:sz w:val="28"/>
            <w:szCs w:val="28"/>
          </w:rPr>
          <w:fldChar w:fldCharType="end"/>
        </w:r>
      </w:p>
    </w:sdtContent>
  </w:sdt>
  <w:p w:rsidR="00CD0621" w:rsidRDefault="00CD062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36"/>
    <w:rsid w:val="00045ED0"/>
    <w:rsid w:val="000F15C7"/>
    <w:rsid w:val="00225EA4"/>
    <w:rsid w:val="002627A0"/>
    <w:rsid w:val="00264C47"/>
    <w:rsid w:val="002E19B9"/>
    <w:rsid w:val="00334D9E"/>
    <w:rsid w:val="00374FAC"/>
    <w:rsid w:val="00390F8B"/>
    <w:rsid w:val="0039118A"/>
    <w:rsid w:val="004C39D8"/>
    <w:rsid w:val="004E3D37"/>
    <w:rsid w:val="004F0487"/>
    <w:rsid w:val="00687DDD"/>
    <w:rsid w:val="006C764B"/>
    <w:rsid w:val="006D1036"/>
    <w:rsid w:val="0074367B"/>
    <w:rsid w:val="00752F38"/>
    <w:rsid w:val="00782D3B"/>
    <w:rsid w:val="007A53E2"/>
    <w:rsid w:val="007C4DF0"/>
    <w:rsid w:val="007D0DDB"/>
    <w:rsid w:val="007F4FE6"/>
    <w:rsid w:val="008A4977"/>
    <w:rsid w:val="008C6E71"/>
    <w:rsid w:val="008E262A"/>
    <w:rsid w:val="008F180B"/>
    <w:rsid w:val="00905CE8"/>
    <w:rsid w:val="00930044"/>
    <w:rsid w:val="00982AE2"/>
    <w:rsid w:val="009B2D46"/>
    <w:rsid w:val="009B4EB3"/>
    <w:rsid w:val="00A7217C"/>
    <w:rsid w:val="00AD48DA"/>
    <w:rsid w:val="00AF53A1"/>
    <w:rsid w:val="00BE679B"/>
    <w:rsid w:val="00C739D4"/>
    <w:rsid w:val="00CC68D5"/>
    <w:rsid w:val="00CD0621"/>
    <w:rsid w:val="00D06308"/>
    <w:rsid w:val="00DE5994"/>
    <w:rsid w:val="00E6435E"/>
    <w:rsid w:val="00FD3980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5F86F-C4DC-419B-A02E-7CEC1A6F2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03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 w:bidi="ar-SA"/>
    </w:rPr>
  </w:style>
  <w:style w:type="paragraph" w:styleId="3">
    <w:name w:val="heading 3"/>
    <w:basedOn w:val="a"/>
    <w:next w:val="a"/>
    <w:link w:val="30"/>
    <w:uiPriority w:val="9"/>
    <w:qFormat/>
    <w:rsid w:val="006D10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1036"/>
    <w:rPr>
      <w:rFonts w:ascii="Arial" w:eastAsia="Times New Roman" w:hAnsi="Arial" w:cs="Arial"/>
      <w:b/>
      <w:bCs/>
      <w:color w:val="000000"/>
      <w:sz w:val="26"/>
      <w:szCs w:val="26"/>
      <w:lang w:eastAsia="uk-UA" w:bidi="ar-SA"/>
    </w:rPr>
  </w:style>
  <w:style w:type="paragraph" w:styleId="a3">
    <w:name w:val="Body Text"/>
    <w:basedOn w:val="a"/>
    <w:link w:val="a4"/>
    <w:uiPriority w:val="99"/>
    <w:unhideWhenUsed/>
    <w:rsid w:val="006D1036"/>
    <w:pPr>
      <w:widowControl w:val="0"/>
      <w:suppressAutoHyphens/>
      <w:spacing w:after="120"/>
    </w:pPr>
    <w:rPr>
      <w:color w:val="auto"/>
      <w:kern w:val="2"/>
      <w:lang w:eastAsia="en-US"/>
    </w:rPr>
  </w:style>
  <w:style w:type="character" w:customStyle="1" w:styleId="a4">
    <w:name w:val="Основний текст Знак"/>
    <w:basedOn w:val="a0"/>
    <w:link w:val="a3"/>
    <w:uiPriority w:val="99"/>
    <w:rsid w:val="006D1036"/>
    <w:rPr>
      <w:rFonts w:ascii="Times New Roman" w:eastAsia="Times New Roman" w:hAnsi="Times New Roman" w:cs="Times New Roman"/>
      <w:kern w:val="2"/>
      <w:sz w:val="24"/>
      <w:szCs w:val="24"/>
      <w:lang w:bidi="ar-SA"/>
    </w:rPr>
  </w:style>
  <w:style w:type="table" w:styleId="a5">
    <w:name w:val="Table Grid"/>
    <w:basedOn w:val="a1"/>
    <w:uiPriority w:val="39"/>
    <w:rsid w:val="006D1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6D1036"/>
    <w:pPr>
      <w:spacing w:before="100" w:beforeAutospacing="1" w:after="100" w:afterAutospacing="1"/>
    </w:pPr>
    <w:rPr>
      <w:color w:val="auto"/>
    </w:rPr>
  </w:style>
  <w:style w:type="character" w:styleId="a6">
    <w:name w:val="Hyperlink"/>
    <w:basedOn w:val="a0"/>
    <w:uiPriority w:val="99"/>
    <w:unhideWhenUsed/>
    <w:rsid w:val="00C739D4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D062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CD0621"/>
    <w:rPr>
      <w:rFonts w:ascii="Times New Roman" w:eastAsia="Times New Roman" w:hAnsi="Times New Roman" w:cs="Times New Roman"/>
      <w:color w:val="000000"/>
      <w:sz w:val="24"/>
      <w:szCs w:val="24"/>
      <w:lang w:eastAsia="uk-UA" w:bidi="ar-SA"/>
    </w:rPr>
  </w:style>
  <w:style w:type="paragraph" w:styleId="a9">
    <w:name w:val="footer"/>
    <w:basedOn w:val="a"/>
    <w:link w:val="aa"/>
    <w:uiPriority w:val="99"/>
    <w:unhideWhenUsed/>
    <w:rsid w:val="00CD062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CD0621"/>
    <w:rPr>
      <w:rFonts w:ascii="Times New Roman" w:eastAsia="Times New Roman" w:hAnsi="Times New Roman" w:cs="Times New Roman"/>
      <w:color w:val="000000"/>
      <w:sz w:val="24"/>
      <w:szCs w:val="24"/>
      <w:lang w:eastAsia="uk-UA" w:bidi="ar-SA"/>
    </w:rPr>
  </w:style>
  <w:style w:type="paragraph" w:styleId="ab">
    <w:name w:val="Balloon Text"/>
    <w:basedOn w:val="a"/>
    <w:link w:val="ac"/>
    <w:uiPriority w:val="99"/>
    <w:semiHidden/>
    <w:unhideWhenUsed/>
    <w:rsid w:val="00390F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90F8B"/>
    <w:rPr>
      <w:rFonts w:ascii="Segoe UI" w:eastAsia="Times New Roman" w:hAnsi="Segoe UI" w:cs="Segoe UI"/>
      <w:color w:val="000000"/>
      <w:sz w:val="18"/>
      <w:szCs w:val="18"/>
      <w:lang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2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3537</Words>
  <Characters>2017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Півторак Володимир Вікторович</cp:lastModifiedBy>
  <cp:revision>2</cp:revision>
  <cp:lastPrinted>2019-07-31T08:47:00Z</cp:lastPrinted>
  <dcterms:created xsi:type="dcterms:W3CDTF">2019-08-27T09:26:00Z</dcterms:created>
  <dcterms:modified xsi:type="dcterms:W3CDTF">2019-08-27T09:26:00Z</dcterms:modified>
</cp:coreProperties>
</file>