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sz w:val="22"/>
          <w:szCs w:val="22"/>
        </w:rPr>
      </w:pPr>
      <w:r w:rsidDel="00000000" w:rsidR="00000000" w:rsidRPr="00000000">
        <w:rPr>
          <w:sz w:val="22"/>
          <w:szCs w:val="22"/>
          <w:rtl w:val="0"/>
        </w:rPr>
        <w:t xml:space="preserve">До реєстр. № 1028 </w:t>
      </w:r>
    </w:p>
    <w:p w:rsidR="00000000" w:rsidDel="00000000" w:rsidP="00000000" w:rsidRDefault="00000000" w:rsidRPr="00000000" w14:paraId="00000002">
      <w:pPr>
        <w:jc w:val="right"/>
        <w:rPr>
          <w:sz w:val="22"/>
          <w:szCs w:val="22"/>
        </w:rPr>
      </w:pPr>
      <w:r w:rsidDel="00000000" w:rsidR="00000000" w:rsidRPr="00000000">
        <w:rPr>
          <w:sz w:val="22"/>
          <w:szCs w:val="22"/>
          <w:rtl w:val="0"/>
        </w:rPr>
        <w:t xml:space="preserve">від 29.08.2019 р.</w:t>
      </w:r>
    </w:p>
    <w:p w:rsidR="00000000" w:rsidDel="00000000" w:rsidP="00000000" w:rsidRDefault="00000000" w:rsidRPr="00000000" w14:paraId="00000003">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jc w:val="right"/>
        <w:rPr>
          <w:b w:val="1"/>
          <w:color w:val="000000"/>
        </w:rPr>
      </w:pPr>
      <w:r w:rsidDel="00000000" w:rsidR="00000000" w:rsidRPr="00000000">
        <w:rPr>
          <w:b w:val="1"/>
          <w:color w:val="000000"/>
          <w:rtl w:val="0"/>
        </w:rPr>
        <w:t xml:space="preserve">ВЕРХОВНА РАДА УКРАЇНИ</w:t>
      </w:r>
    </w:p>
    <w:p w:rsidR="00000000" w:rsidDel="00000000" w:rsidP="00000000" w:rsidRDefault="00000000" w:rsidRPr="00000000" w14:paraId="0000000D">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jc w:val="right"/>
        <w:rPr>
          <w:b w:val="1"/>
          <w:color w:val="000000"/>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Комітет Верховної Ради України з питань правової політики за дорученням Голови Верховної Ради України від 30 серпня 2019 року розглянув на своєму засіданні 02 вересня 2019 року (протокол № 2) поданий Президентом України як невідкладний законопроект про внесення зміни до статті 85 Конституції України (щодо консультативних, дорадчих та інших допоміжних органів Верховної Ради України) (реєстр. № 1028 від 29 серпня 2019 року) (далі – Законопроект) та встановив таке.</w:t>
      </w:r>
    </w:p>
    <w:p w:rsidR="00000000" w:rsidDel="00000000" w:rsidP="00000000" w:rsidRDefault="00000000" w:rsidRPr="00000000" w14:paraId="00000010">
      <w:pPr>
        <w:rPr/>
      </w:pPr>
      <w:r w:rsidDel="00000000" w:rsidR="00000000" w:rsidRPr="00000000">
        <w:rPr>
          <w:rtl w:val="0"/>
        </w:rPr>
        <w:t xml:space="preserve">Метою запропонованої Законопроектом зміни є законодавче закріплення в Конституції України ефективного механізму організації та діяльності Верховної Ради України.  </w:t>
      </w:r>
    </w:p>
    <w:p w:rsidR="00000000" w:rsidDel="00000000" w:rsidP="00000000" w:rsidRDefault="00000000" w:rsidRPr="00000000" w14:paraId="00000011">
      <w:pPr>
        <w:rPr/>
      </w:pPr>
      <w:r w:rsidDel="00000000" w:rsidR="00000000" w:rsidRPr="00000000">
        <w:rPr>
          <w:rtl w:val="0"/>
        </w:rPr>
        <w:t xml:space="preserve">Пропонована законодавча ініціатива має на меті внесення необхідної зміни до Конституції України для реформування системи органів, що забезпечують функціонування парламенту як єдиного органу законодавчої влади в Україні.</w:t>
      </w:r>
    </w:p>
    <w:p w:rsidR="00000000" w:rsidDel="00000000" w:rsidP="00000000" w:rsidRDefault="00000000" w:rsidRPr="00000000" w14:paraId="00000012">
      <w:pPr>
        <w:rPr/>
      </w:pPr>
      <w:r w:rsidDel="00000000" w:rsidR="00000000" w:rsidRPr="00000000">
        <w:rPr>
          <w:rtl w:val="0"/>
        </w:rPr>
        <w:t xml:space="preserve">Можливість створення у межах коштів, передбачених у Державному бюджеті України, для здійснення своїх повноважень консультативних, дорадчих та інших допоміжних органів Верховної Ради України є важливою запорукою ефективної організації тих органів та служб, що мають утворюватися парламентом для забезпечення його роботи.</w:t>
      </w:r>
    </w:p>
    <w:p w:rsidR="00000000" w:rsidDel="00000000" w:rsidP="00000000" w:rsidRDefault="00000000" w:rsidRPr="00000000" w14:paraId="00000013">
      <w:pPr>
        <w:rPr/>
      </w:pPr>
      <w:r w:rsidDel="00000000" w:rsidR="00000000" w:rsidRPr="00000000">
        <w:rPr>
          <w:rtl w:val="0"/>
        </w:rPr>
        <w:t xml:space="preserve">Відповідно до частини другої статті 145 Регламенту Верховної Ради України в межах предмету відання, Комітет робить наступні висновки:</w:t>
      </w:r>
    </w:p>
    <w:p w:rsidR="00000000" w:rsidDel="00000000" w:rsidP="00000000" w:rsidRDefault="00000000" w:rsidRPr="00000000" w14:paraId="00000014">
      <w:pPr>
        <w:rPr/>
      </w:pPr>
      <w:r w:rsidDel="00000000" w:rsidR="00000000" w:rsidRPr="00000000">
        <w:rPr>
          <w:rtl w:val="0"/>
        </w:rPr>
        <w:t xml:space="preserve">1) згідно з статтею 154 Основного Закону України Законопроект поданий до Верховної Ради України належним суб’єктом законодавчої ініціативи – Президентом України;</w:t>
      </w:r>
    </w:p>
    <w:p w:rsidR="00000000" w:rsidDel="00000000" w:rsidP="00000000" w:rsidRDefault="00000000" w:rsidRPr="00000000" w14:paraId="00000015">
      <w:pPr>
        <w:rPr/>
      </w:pPr>
      <w:r w:rsidDel="00000000" w:rsidR="00000000" w:rsidRPr="00000000">
        <w:rPr>
          <w:rtl w:val="0"/>
        </w:rPr>
        <w:t xml:space="preserve">2) прийняття поданого відповідно до </w:t>
      </w:r>
      <w:hyperlink r:id="rId6">
        <w:r w:rsidDel="00000000" w:rsidR="00000000" w:rsidRPr="00000000">
          <w:rPr>
            <w:color w:val="1155cc"/>
            <w:u w:val="single"/>
            <w:rtl w:val="0"/>
          </w:rPr>
          <w:t xml:space="preserve">статті 154 Конституції України</w:t>
        </w:r>
      </w:hyperlink>
      <w:r w:rsidDel="00000000" w:rsidR="00000000" w:rsidRPr="00000000">
        <w:rPr>
          <w:rtl w:val="0"/>
        </w:rPr>
        <w:t xml:space="preserve"> Законопроекту не потребує викликаного системною єдністю норм Конституції України одночасного внесення змін до Розділу І «Загальні засади», Розділу ІІІ «Вибори. Референдум» і Розділу ХІІІ «Внесення змін до Конституції України»;</w:t>
      </w:r>
    </w:p>
    <w:p w:rsidR="00000000" w:rsidDel="00000000" w:rsidP="00000000" w:rsidRDefault="00000000" w:rsidRPr="00000000" w14:paraId="00000016">
      <w:pPr>
        <w:rPr/>
      </w:pPr>
      <w:r w:rsidDel="00000000" w:rsidR="00000000" w:rsidRPr="00000000">
        <w:rPr>
          <w:rtl w:val="0"/>
        </w:rPr>
        <w:t xml:space="preserve">3) Комітет вважає, що Законопроект відповідає вимогам статті 156 Конституції України, відповідно до якої повторне подання законопроекту про внесення змін до розділів I, III і XIII цієї Конституції з одного й того самого питання можливе лише до Верховної Ради України наступного скликання;</w:t>
      </w:r>
    </w:p>
    <w:p w:rsidR="00000000" w:rsidDel="00000000" w:rsidP="00000000" w:rsidRDefault="00000000" w:rsidRPr="00000000" w14:paraId="00000017">
      <w:pPr>
        <w:rPr/>
      </w:pPr>
      <w:r w:rsidDel="00000000" w:rsidR="00000000" w:rsidRPr="00000000">
        <w:rPr>
          <w:rtl w:val="0"/>
        </w:rPr>
        <w:t xml:space="preserve">4) попередній аналіз Законопроекту дає змогу вважати, що у ньому відсутні положення (або подібні до них), які в раніше наданих висновках та прийнятих рішеннях Конституційного Суду України визнавалися такими, що скасовують чи обмежують права та свободи людини і громадянина або спрямовані на ліквідацію незалежності чи на порушення територіальної цілісності України;</w:t>
      </w:r>
    </w:p>
    <w:p w:rsidR="00000000" w:rsidDel="00000000" w:rsidP="00000000" w:rsidRDefault="00000000" w:rsidRPr="00000000" w14:paraId="00000018">
      <w:pPr>
        <w:rPr/>
      </w:pPr>
      <w:r w:rsidDel="00000000" w:rsidR="00000000" w:rsidRPr="00000000">
        <w:rPr>
          <w:rtl w:val="0"/>
        </w:rPr>
        <w:t xml:space="preserve">5) у Комітету є підстави вважати, що положення Законопроекту відповідають вимогам статей 157 і 158 Конституції України;</w:t>
      </w:r>
    </w:p>
    <w:p w:rsidR="00000000" w:rsidDel="00000000" w:rsidP="00000000" w:rsidRDefault="00000000" w:rsidRPr="00000000" w14:paraId="00000019">
      <w:pPr>
        <w:rPr/>
      </w:pPr>
      <w:r w:rsidDel="00000000" w:rsidR="00000000" w:rsidRPr="00000000">
        <w:rPr>
          <w:rtl w:val="0"/>
        </w:rPr>
        <w:t xml:space="preserve">6) прийняття Законопроекту зумовить реформування системи органів, що забезпечують функціонування парламенту як єдиного органу законодавчої влади в Україні;</w:t>
      </w:r>
    </w:p>
    <w:p w:rsidR="00000000" w:rsidDel="00000000" w:rsidP="00000000" w:rsidRDefault="00000000" w:rsidRPr="00000000" w14:paraId="0000001A">
      <w:pPr>
        <w:rPr/>
      </w:pPr>
      <w:bookmarkStart w:colFirst="0" w:colLast="0" w:name="_gjdgxs" w:id="0"/>
      <w:bookmarkEnd w:id="0"/>
      <w:r w:rsidDel="00000000" w:rsidR="00000000" w:rsidRPr="00000000">
        <w:rPr>
          <w:rtl w:val="0"/>
        </w:rPr>
        <w:t xml:space="preserve">7) на думку Комітету, положення Законопроекту викладені повно, чітко, є несуперечливими та дадуть змогу системно регулювати відповідні суспільні відносини на конституційному рівні. Законопроект не потребуватиме прийняття до нього пропозицій і поправок, у тому числі редакційно-уточнювального характеру.</w:t>
      </w:r>
    </w:p>
    <w:p w:rsidR="00000000" w:rsidDel="00000000" w:rsidP="00000000" w:rsidRDefault="00000000" w:rsidRPr="00000000" w14:paraId="0000001B">
      <w:pPr>
        <w:rPr/>
      </w:pPr>
      <w:r w:rsidDel="00000000" w:rsidR="00000000" w:rsidRPr="00000000">
        <w:rPr>
          <w:rtl w:val="0"/>
        </w:rPr>
        <w:t xml:space="preserve">8) Комітет вважає, що недоцільно направляти Законопроект на наукову, юридичну чи іншу експертизу до прийняття Верховною Радою України постанови про звернення до Конституційного Суду України.</w:t>
      </w:r>
    </w:p>
    <w:p w:rsidR="00000000" w:rsidDel="00000000" w:rsidP="00000000" w:rsidRDefault="00000000" w:rsidRPr="00000000" w14:paraId="0000001C">
      <w:pPr>
        <w:rPr/>
      </w:pPr>
      <w:r w:rsidDel="00000000" w:rsidR="00000000" w:rsidRPr="00000000">
        <w:rPr>
          <w:rtl w:val="0"/>
        </w:rPr>
        <w:t xml:space="preserve">9) Комітет вважає недоцільним опублікування Законопроекту для всенародного обговорення у строк до прийняття Верховною Радою України постанови про звернення до Конституційного Суду України щодо цього Законопроекту.</w:t>
      </w:r>
    </w:p>
    <w:p w:rsidR="00000000" w:rsidDel="00000000" w:rsidP="00000000" w:rsidRDefault="00000000" w:rsidRPr="00000000" w14:paraId="0000001D">
      <w:pPr>
        <w:rPr/>
      </w:pPr>
      <w:r w:rsidDel="00000000" w:rsidR="00000000" w:rsidRPr="00000000">
        <w:rPr>
          <w:rtl w:val="0"/>
        </w:rPr>
        <w:t xml:space="preserve">Враховуючи викладене, а також положення статті 146 Регламенту Верховної Ради України, Комітет з питань правової політики рекомендує Верховній Раді України поданий Президентом України як невідкладний законопроект про внесення зміни до статті 85 Конституції України (щодо консультативних, дорадчих та інших допоміжних органів Верховної Ради України) (реєстр. № 1028 від 29 серпня 2019 року) включити до порядку денного другої сесії Верховної Ради України дев’ятого скликання та направити до Конституційного Суду України для одержання висновку щодо його відповідності вимогам статей 157 і 158 Конституції України.</w:t>
      </w:r>
    </w:p>
    <w:p w:rsidR="00000000" w:rsidDel="00000000" w:rsidP="00000000" w:rsidRDefault="00000000" w:rsidRPr="00000000" w14:paraId="0000001E">
      <w:pPr>
        <w:rPr/>
      </w:pPr>
      <w:r w:rsidDel="00000000" w:rsidR="00000000" w:rsidRPr="00000000">
        <w:rPr>
          <w:rtl w:val="0"/>
        </w:rPr>
        <w:t xml:space="preserve">Доповідачем з цього питання на пленарному засіданні Верховної Ради України від Комітету визначено Заступника Голови Комітету Совгирю О.В. </w:t>
      </w:r>
    </w:p>
    <w:p w:rsidR="00000000" w:rsidDel="00000000" w:rsidP="00000000" w:rsidRDefault="00000000" w:rsidRPr="00000000" w14:paraId="0000001F">
      <w:pPr>
        <w:rPr/>
      </w:pPr>
      <w:r w:rsidDel="00000000" w:rsidR="00000000" w:rsidRPr="00000000">
        <w:rPr>
          <w:rtl w:val="0"/>
        </w:rPr>
        <w:t xml:space="preserve">Додаючи відповідні матеріали, просимо розглянути. </w:t>
      </w:r>
    </w:p>
    <w:p w:rsidR="00000000" w:rsidDel="00000000" w:rsidP="00000000" w:rsidRDefault="00000000" w:rsidRPr="00000000" w14:paraId="00000020">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23">
      <w:pPr>
        <w:ind w:firstLine="0"/>
        <w:rPr>
          <w:b w:val="1"/>
        </w:rPr>
      </w:pPr>
      <w:r w:rsidDel="00000000" w:rsidR="00000000" w:rsidRPr="00000000">
        <w:rPr>
          <w:b w:val="1"/>
          <w:rtl w:val="0"/>
        </w:rPr>
        <w:t xml:space="preserve">Голова Комітету                                                                   І.В. ВЕНЕДІКТОВА</w:t>
      </w:r>
    </w:p>
    <w:p w:rsidR="00000000" w:rsidDel="00000000" w:rsidP="00000000" w:rsidRDefault="00000000" w:rsidRPr="00000000" w14:paraId="00000024">
      <w:pPr>
        <w:pBdr>
          <w:top w:space="0" w:sz="0" w:val="nil"/>
          <w:left w:space="0" w:sz="0" w:val="nil"/>
          <w:bottom w:space="0" w:sz="0" w:val="nil"/>
          <w:right w:space="0" w:sz="0" w:val="nil"/>
          <w:between w:space="0" w:sz="0" w:val="nil"/>
        </w:pBdr>
        <w:rPr/>
      </w:pPr>
      <w:r w:rsidDel="00000000" w:rsidR="00000000" w:rsidRPr="00000000">
        <w:rPr>
          <w:rtl w:val="0"/>
        </w:rPr>
      </w:r>
    </w:p>
    <w:sectPr>
      <w:headerReference r:id="rId7" w:type="default"/>
      <w:pgSz w:h="16838" w:w="11906"/>
      <w:pgMar w:bottom="1134" w:top="1134" w:left="1701" w:right="851" w:header="454" w:footer="17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9"/>
      </w:tabs>
      <w:spacing w:after="0" w:before="0" w:line="240" w:lineRule="auto"/>
      <w:ind w:left="0"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8"/>
        <w:szCs w:val="28"/>
        <w:lang w:val="uk-UA"/>
      </w:rPr>
    </w:rPrDefault>
    <w:pPrDefault>
      <w:pPr>
        <w:ind w:firstLine="709"/>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space="0" w:sz="0" w:val="nil"/>
        <w:left w:space="0" w:sz="0" w:val="nil"/>
        <w:bottom w:space="0" w:sz="0" w:val="nil"/>
        <w:right w:space="0" w:sz="0" w:val="nil"/>
        <w:between w:space="0" w:sz="0" w:val="nil"/>
      </w:pBdr>
      <w:jc w:val="center"/>
    </w:pPr>
    <w:rPr>
      <w:b w:val="1"/>
    </w:rPr>
  </w:style>
  <w:style w:type="paragraph" w:styleId="Heading2">
    <w:name w:val="heading 2"/>
    <w:basedOn w:val="Normal"/>
    <w:next w:val="Normal"/>
    <w:pPr>
      <w:keepNext w:val="1"/>
      <w:pBdr>
        <w:top w:space="0" w:sz="0" w:val="nil"/>
        <w:left w:space="0" w:sz="0" w:val="nil"/>
        <w:bottom w:space="0" w:sz="0" w:val="nil"/>
        <w:right w:space="0" w:sz="0" w:val="nil"/>
        <w:between w:space="0" w:sz="0" w:val="nil"/>
      </w:pBdr>
      <w:spacing w:after="60" w:before="240" w:lineRule="auto"/>
    </w:pPr>
    <w:rPr>
      <w:rFonts w:ascii="Arial" w:cs="Arial" w:eastAsia="Arial" w:hAnsi="Arial"/>
      <w:b w:val="1"/>
      <w:i w:val="1"/>
    </w:rPr>
  </w:style>
  <w:style w:type="paragraph" w:styleId="Heading3">
    <w:name w:val="heading 3"/>
    <w:basedOn w:val="Normal"/>
    <w:next w:val="Normal"/>
    <w:pPr>
      <w:keepNext w:val="1"/>
      <w:pBdr>
        <w:top w:space="0" w:sz="0" w:val="nil"/>
        <w:left w:space="0" w:sz="0" w:val="nil"/>
        <w:bottom w:space="0" w:sz="0" w:val="nil"/>
        <w:right w:space="0" w:sz="0" w:val="nil"/>
        <w:between w:space="0" w:sz="0" w:val="nil"/>
      </w:pBdr>
      <w:spacing w:after="60" w:before="240" w:lineRule="auto"/>
    </w:pPr>
    <w:rPr>
      <w:rFonts w:ascii="Arial" w:cs="Arial" w:eastAsia="Arial" w:hAnsi="Arial"/>
      <w:b w:val="1"/>
      <w:sz w:val="26"/>
      <w:szCs w:val="26"/>
    </w:rPr>
  </w:style>
  <w:style w:type="paragraph" w:styleId="Heading4">
    <w:name w:val="heading 4"/>
    <w:basedOn w:val="Normal"/>
    <w:next w:val="Normal"/>
    <w:pPr>
      <w:keepNext w:val="1"/>
      <w:pBdr>
        <w:top w:space="0" w:sz="0" w:val="nil"/>
        <w:left w:space="0" w:sz="0" w:val="nil"/>
        <w:bottom w:space="0" w:sz="0" w:val="nil"/>
        <w:right w:space="0" w:sz="0" w:val="nil"/>
        <w:between w:space="0" w:sz="0" w:val="nil"/>
      </w:pBdr>
      <w:spacing w:after="60" w:before="240" w:lineRule="auto"/>
    </w:pPr>
    <w:rPr>
      <w:b w:val="1"/>
    </w:rPr>
  </w:style>
  <w:style w:type="paragraph" w:styleId="Heading5">
    <w:name w:val="heading 5"/>
    <w:basedOn w:val="Normal"/>
    <w:next w:val="Normal"/>
    <w:pPr>
      <w:pBdr>
        <w:top w:space="0" w:sz="0" w:val="nil"/>
        <w:left w:space="0" w:sz="0" w:val="nil"/>
        <w:bottom w:space="0" w:sz="0" w:val="nil"/>
        <w:right w:space="0" w:sz="0" w:val="nil"/>
        <w:between w:space="0" w:sz="0" w:val="nil"/>
      </w:pBdr>
      <w:spacing w:after="60" w:before="240" w:lineRule="auto"/>
    </w:pPr>
    <w:rPr>
      <w:b w:val="1"/>
      <w:i w:val="1"/>
      <w:sz w:val="26"/>
      <w:szCs w:val="26"/>
    </w:rPr>
  </w:style>
  <w:style w:type="paragraph" w:styleId="Heading6">
    <w:name w:val="heading 6"/>
    <w:basedOn w:val="Normal"/>
    <w:next w:val="Normal"/>
    <w:pPr>
      <w:pBdr>
        <w:top w:space="0" w:sz="0" w:val="nil"/>
        <w:left w:space="0" w:sz="0" w:val="nil"/>
        <w:bottom w:space="0" w:sz="0" w:val="nil"/>
        <w:right w:space="0" w:sz="0" w:val="nil"/>
        <w:between w:space="0" w:sz="0" w:val="nil"/>
      </w:pBdr>
      <w:spacing w:after="60" w:before="240" w:lineRule="auto"/>
    </w:pPr>
    <w:rPr>
      <w:b w:val="1"/>
      <w:sz w:val="22"/>
      <w:szCs w:val="22"/>
    </w:rPr>
  </w:style>
  <w:style w:type="paragraph" w:styleId="Title">
    <w:name w:val="Title"/>
    <w:basedOn w:val="Normal"/>
    <w:next w:val="Normal"/>
    <w:pPr>
      <w:pBdr>
        <w:top w:space="0" w:sz="0" w:val="nil"/>
        <w:left w:space="0" w:sz="0" w:val="nil"/>
        <w:bottom w:space="0" w:sz="0" w:val="nil"/>
        <w:right w:space="0" w:sz="0" w:val="nil"/>
        <w:between w:space="0" w:sz="0" w:val="nil"/>
      </w:pBdr>
      <w:spacing w:after="60" w:before="240" w:lineRule="auto"/>
      <w:jc w:val="center"/>
    </w:pPr>
    <w:rPr>
      <w:rFonts w:ascii="Arial" w:cs="Arial" w:eastAsia="Arial" w:hAnsi="Arial"/>
      <w:b w:val="1"/>
      <w:sz w:val="32"/>
      <w:szCs w:val="32"/>
    </w:rPr>
  </w:style>
  <w:style w:type="paragraph" w:styleId="Subtitle">
    <w:name w:val="Subtitle"/>
    <w:basedOn w:val="Normal"/>
    <w:next w:val="Normal"/>
    <w:pPr>
      <w:pBdr>
        <w:top w:space="0" w:sz="0" w:val="nil"/>
        <w:left w:space="0" w:sz="0" w:val="nil"/>
        <w:bottom w:space="0" w:sz="0" w:val="nil"/>
        <w:right w:space="0" w:sz="0" w:val="nil"/>
        <w:between w:space="0" w:sz="0" w:val="nil"/>
      </w:pBdr>
      <w:spacing w:after="60" w:lineRule="auto"/>
      <w:jc w:val="center"/>
    </w:pPr>
    <w:rPr>
      <w:rFonts w:ascii="Arial" w:cs="Arial" w:eastAsia="Arial" w:hAnsi="Arial"/>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zakon.rada.gov.ua/laws/show/254%D0%BA/96-%D0%B2%D1%80#_blank"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