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2B2" w:rsidRDefault="000F62B2" w:rsidP="00536C52">
      <w:pPr>
        <w:jc w:val="right"/>
      </w:pPr>
    </w:p>
    <w:p w:rsidR="00536C52" w:rsidRDefault="00536C52" w:rsidP="00536C52">
      <w:pPr>
        <w:spacing w:after="0"/>
        <w:jc w:val="right"/>
        <w:rPr>
          <w:sz w:val="20"/>
          <w:szCs w:val="20"/>
        </w:rPr>
      </w:pPr>
      <w:r>
        <w:rPr>
          <w:sz w:val="20"/>
          <w:szCs w:val="20"/>
        </w:rPr>
        <w:t>До реєстр. № 1065</w:t>
      </w:r>
    </w:p>
    <w:p w:rsidR="00536C52" w:rsidRPr="00536C52" w:rsidRDefault="00536C52" w:rsidP="00536C52">
      <w:pPr>
        <w:spacing w:after="0"/>
        <w:jc w:val="right"/>
        <w:rPr>
          <w:sz w:val="20"/>
          <w:szCs w:val="20"/>
        </w:rPr>
      </w:pPr>
      <w:r>
        <w:rPr>
          <w:sz w:val="20"/>
          <w:szCs w:val="20"/>
        </w:rPr>
        <w:t>(друге читання)</w:t>
      </w:r>
    </w:p>
    <w:p w:rsidR="000F62B2" w:rsidRDefault="000F62B2" w:rsidP="000F62B2">
      <w:pPr>
        <w:jc w:val="center"/>
      </w:pPr>
    </w:p>
    <w:p w:rsidR="000F62B2" w:rsidRDefault="000F62B2" w:rsidP="000F62B2">
      <w:pPr>
        <w:jc w:val="center"/>
      </w:pPr>
    </w:p>
    <w:p w:rsidR="000F62B2" w:rsidRDefault="000F62B2" w:rsidP="000F62B2">
      <w:pPr>
        <w:jc w:val="center"/>
      </w:pPr>
    </w:p>
    <w:p w:rsidR="000F62B2" w:rsidRDefault="000F62B2" w:rsidP="000F62B2">
      <w:pPr>
        <w:jc w:val="center"/>
      </w:pPr>
    </w:p>
    <w:p w:rsidR="000F62B2" w:rsidRDefault="000F62B2" w:rsidP="000F62B2">
      <w:pPr>
        <w:jc w:val="center"/>
      </w:pPr>
    </w:p>
    <w:p w:rsidR="000F62B2" w:rsidRDefault="000F62B2" w:rsidP="000F62B2">
      <w:pPr>
        <w:jc w:val="center"/>
      </w:pPr>
      <w:r>
        <w:t>Зауваження</w:t>
      </w:r>
    </w:p>
    <w:p w:rsidR="000A2DEA" w:rsidRDefault="000F62B2" w:rsidP="00164842">
      <w:pPr>
        <w:spacing w:after="0"/>
        <w:jc w:val="center"/>
      </w:pPr>
      <w:r>
        <w:t>до</w:t>
      </w:r>
      <w:r w:rsidR="000A2DEA">
        <w:t xml:space="preserve"> проект</w:t>
      </w:r>
      <w:r>
        <w:t>у</w:t>
      </w:r>
      <w:r w:rsidR="000A2DEA">
        <w:t xml:space="preserve"> Закону України «Про внесення змін до деяких законодавчих актів України щодо вдосконалення правової охорони географічних зазначень»</w:t>
      </w:r>
    </w:p>
    <w:p w:rsidR="000A2DEA" w:rsidRDefault="000A2DEA" w:rsidP="00164842">
      <w:pPr>
        <w:spacing w:after="0"/>
        <w:jc w:val="center"/>
      </w:pPr>
      <w:r>
        <w:t>(</w:t>
      </w:r>
      <w:r w:rsidR="00536C52">
        <w:t>реєстраційний</w:t>
      </w:r>
      <w:r w:rsidR="000F62B2">
        <w:t xml:space="preserve"> № 1065</w:t>
      </w:r>
      <w:r>
        <w:t>)</w:t>
      </w:r>
    </w:p>
    <w:p w:rsidR="000A2DEA" w:rsidRDefault="000A2DEA" w:rsidP="000A2DEA"/>
    <w:p w:rsidR="0072234F" w:rsidRDefault="00B0753F" w:rsidP="00941E68">
      <w:pPr>
        <w:autoSpaceDE w:val="0"/>
        <w:autoSpaceDN w:val="0"/>
        <w:spacing w:after="0" w:line="276" w:lineRule="auto"/>
        <w:ind w:firstLine="567"/>
        <w:jc w:val="both"/>
      </w:pPr>
      <w:r>
        <w:tab/>
        <w:t xml:space="preserve">У Головному юридичному управлінні </w:t>
      </w:r>
      <w:r w:rsidR="00C62698">
        <w:t xml:space="preserve">у  межах мінімально відведеного часу </w:t>
      </w:r>
      <w:r>
        <w:t>розглянуто зазначений законопроект</w:t>
      </w:r>
      <w:r w:rsidR="0072234F">
        <w:t xml:space="preserve"> та </w:t>
      </w:r>
      <w:r w:rsidR="00C51E10">
        <w:t>насамперед</w:t>
      </w:r>
      <w:r w:rsidR="00C51E10">
        <w:t xml:space="preserve"> </w:t>
      </w:r>
      <w:r w:rsidR="0072234F">
        <w:t>повідомляється,</w:t>
      </w:r>
      <w:r w:rsidR="00C1307E">
        <w:t xml:space="preserve">  що натепер </w:t>
      </w:r>
      <w:r w:rsidR="008C6BE5">
        <w:t>залишаю</w:t>
      </w:r>
      <w:r w:rsidR="0072234F">
        <w:t>ться актуальним</w:t>
      </w:r>
      <w:r w:rsidR="008C6BE5">
        <w:t>и</w:t>
      </w:r>
      <w:r w:rsidR="00493DA7">
        <w:t>:</w:t>
      </w:r>
      <w:r w:rsidR="0072234F">
        <w:t xml:space="preserve"> </w:t>
      </w:r>
      <w:r w:rsidR="00631159">
        <w:rPr>
          <w:rFonts w:eastAsia="Times New Roman" w:cs="Times New Roman"/>
          <w:szCs w:val="28"/>
          <w:lang w:eastAsia="ru-RU"/>
        </w:rPr>
        <w:t>в</w:t>
      </w:r>
      <w:r w:rsidR="00631159" w:rsidRPr="00332C83">
        <w:rPr>
          <w:rFonts w:eastAsia="Times New Roman" w:cs="Times New Roman"/>
          <w:szCs w:val="28"/>
          <w:lang w:eastAsia="ru-RU"/>
        </w:rPr>
        <w:t>исновок Комітету з питань інтеграції України з Європейським Союзом</w:t>
      </w:r>
      <w:r w:rsidR="00631159">
        <w:rPr>
          <w:rFonts w:eastAsia="Times New Roman" w:cs="Times New Roman"/>
          <w:szCs w:val="28"/>
          <w:lang w:eastAsia="ru-RU"/>
        </w:rPr>
        <w:t xml:space="preserve"> від 06.09.2019 про необхідність </w:t>
      </w:r>
      <w:r w:rsidR="008C6BE5">
        <w:rPr>
          <w:rFonts w:eastAsia="Times New Roman" w:cs="Times New Roman"/>
          <w:szCs w:val="28"/>
          <w:lang w:eastAsia="ru-RU"/>
        </w:rPr>
        <w:t>урахування  повною мірою</w:t>
      </w:r>
      <w:r w:rsidR="00631159">
        <w:rPr>
          <w:rFonts w:eastAsia="Times New Roman" w:cs="Times New Roman"/>
          <w:szCs w:val="28"/>
          <w:lang w:eastAsia="ru-RU"/>
        </w:rPr>
        <w:t xml:space="preserve"> </w:t>
      </w:r>
      <w:r w:rsidR="00631159" w:rsidRPr="00332C83">
        <w:rPr>
          <w:rFonts w:eastAsia="Times New Roman" w:cs="Times New Roman"/>
          <w:szCs w:val="28"/>
          <w:lang w:eastAsia="ru-RU"/>
        </w:rPr>
        <w:t xml:space="preserve"> </w:t>
      </w:r>
      <w:r w:rsidR="00631159">
        <w:rPr>
          <w:rFonts w:eastAsia="Times New Roman" w:cs="Times New Roman"/>
          <w:color w:val="000000"/>
          <w:szCs w:val="28"/>
          <w:lang w:eastAsia="ru-RU"/>
        </w:rPr>
        <w:t>деяких положень</w:t>
      </w:r>
      <w:r w:rsidR="00631159" w:rsidRPr="00332C83">
        <w:rPr>
          <w:rFonts w:eastAsia="Times New Roman" w:cs="Times New Roman"/>
          <w:color w:val="000000"/>
          <w:szCs w:val="28"/>
          <w:lang w:eastAsia="ru-RU"/>
        </w:rPr>
        <w:t xml:space="preserve"> Регламенту (ЄС) № 1151/2012</w:t>
      </w:r>
      <w:r w:rsidR="00941E68" w:rsidRPr="00941E68">
        <w:rPr>
          <w:rFonts w:eastAsia="Calibri" w:cs="Times New Roman"/>
          <w:szCs w:val="28"/>
        </w:rPr>
        <w:t xml:space="preserve"> </w:t>
      </w:r>
      <w:r w:rsidR="00941E68" w:rsidRPr="00332C83">
        <w:rPr>
          <w:rFonts w:eastAsia="Calibri" w:cs="Times New Roman"/>
          <w:szCs w:val="28"/>
        </w:rPr>
        <w:t>про якість сільськогосподарських продуктів та продуктів харчування</w:t>
      </w:r>
      <w:r w:rsidR="008C6BE5">
        <w:rPr>
          <w:rFonts w:eastAsia="Calibri" w:cs="Times New Roman"/>
          <w:szCs w:val="28"/>
        </w:rPr>
        <w:t xml:space="preserve"> та</w:t>
      </w:r>
      <w:r w:rsidR="00941E68">
        <w:rPr>
          <w:rFonts w:eastAsia="Calibri" w:cs="Times New Roman"/>
          <w:szCs w:val="28"/>
        </w:rPr>
        <w:t xml:space="preserve"> </w:t>
      </w:r>
      <w:r w:rsidR="00941E68">
        <w:t>виснов</w:t>
      </w:r>
      <w:r w:rsidR="00493DA7">
        <w:t>о</w:t>
      </w:r>
      <w:r w:rsidR="0072234F">
        <w:t>к Головного науково-експертного управління, нада</w:t>
      </w:r>
      <w:r w:rsidR="00493DA7">
        <w:t>ний</w:t>
      </w:r>
      <w:r w:rsidR="00D67937">
        <w:t xml:space="preserve"> до його тексту</w:t>
      </w:r>
      <w:r w:rsidR="008C6BE5">
        <w:t>,</w:t>
      </w:r>
      <w:r w:rsidR="00D67937">
        <w:t xml:space="preserve"> 03.09.2019</w:t>
      </w:r>
      <w:r w:rsidR="0072234F">
        <w:t xml:space="preserve"> щодо</w:t>
      </w:r>
      <w:r w:rsidR="00591916" w:rsidRPr="00591916">
        <w:t xml:space="preserve"> </w:t>
      </w:r>
      <w:r w:rsidR="00591916">
        <w:t>необхідності</w:t>
      </w:r>
      <w:r w:rsidR="0072234F">
        <w:t>:</w:t>
      </w:r>
    </w:p>
    <w:p w:rsidR="000A2DEA" w:rsidRDefault="007A2EE7" w:rsidP="00205C9B">
      <w:pPr>
        <w:pStyle w:val="a3"/>
        <w:numPr>
          <w:ilvl w:val="0"/>
          <w:numId w:val="1"/>
        </w:numPr>
        <w:jc w:val="both"/>
      </w:pPr>
      <w:r>
        <w:t xml:space="preserve">скорочення глосарію </w:t>
      </w:r>
      <w:r w:rsidRPr="007A2EE7">
        <w:t xml:space="preserve">у новій редакції статті 1 Закону України «Про охорону прав на зазначення походження товарів» </w:t>
      </w:r>
      <w:r w:rsidR="00591916">
        <w:t>(далі - Закон)</w:t>
      </w:r>
      <w:r w:rsidR="0072234F">
        <w:t xml:space="preserve"> </w:t>
      </w:r>
      <w:r w:rsidR="004633C2" w:rsidRPr="004633C2">
        <w:t>за рахун</w:t>
      </w:r>
      <w:r w:rsidR="00591916">
        <w:t xml:space="preserve">ок виключення </w:t>
      </w:r>
      <w:r w:rsidR="004633C2" w:rsidRPr="004633C2">
        <w:t xml:space="preserve">термінів,  </w:t>
      </w:r>
      <w:r w:rsidR="0080033B">
        <w:t xml:space="preserve">зміст яких не потребує додаткового нормативного закріплення </w:t>
      </w:r>
      <w:r w:rsidR="00205C9B">
        <w:t>(</w:t>
      </w:r>
      <w:r w:rsidR="0080033B">
        <w:t xml:space="preserve">«Апеляційна палата», </w:t>
      </w:r>
      <w:r w:rsidR="0080033B" w:rsidRPr="004633C2">
        <w:t>«заклад експерт</w:t>
      </w:r>
      <w:r w:rsidR="0080033B">
        <w:t xml:space="preserve">изи», </w:t>
      </w:r>
      <w:r w:rsidR="0080033B" w:rsidRPr="004633C2">
        <w:t>«Установа»</w:t>
      </w:r>
      <w:r w:rsidR="0080033B">
        <w:t>,</w:t>
      </w:r>
      <w:r w:rsidR="0080033B" w:rsidRPr="004633C2">
        <w:t xml:space="preserve"> </w:t>
      </w:r>
      <w:r w:rsidR="004633C2" w:rsidRPr="004633C2">
        <w:t xml:space="preserve">«особа», </w:t>
      </w:r>
      <w:r w:rsidR="0058623D">
        <w:t>«Бюлетень»</w:t>
      </w:r>
      <w:r w:rsidR="004633C2" w:rsidRPr="004633C2">
        <w:t xml:space="preserve"> тощо</w:t>
      </w:r>
      <w:r w:rsidR="00205C9B">
        <w:t>);</w:t>
      </w:r>
    </w:p>
    <w:p w:rsidR="000969F0" w:rsidRPr="00591916" w:rsidRDefault="00C1307E" w:rsidP="00C1307E">
      <w:pPr>
        <w:pStyle w:val="a3"/>
        <w:numPr>
          <w:ilvl w:val="0"/>
          <w:numId w:val="1"/>
        </w:numPr>
        <w:jc w:val="both"/>
      </w:pPr>
      <w:r>
        <w:t xml:space="preserve">усунення суб’єктивного підходу до критерію «введення в оману» з огляду на пропоновані зміни до пункту «д» частини першої статті 8 Закону щодо умови, коли </w:t>
      </w:r>
      <w:r w:rsidRPr="00C1307E">
        <w:t>«споживачі не вводяться в оману»</w:t>
      </w:r>
      <w:r w:rsidR="00631159">
        <w:t>.</w:t>
      </w:r>
    </w:p>
    <w:p w:rsidR="0080033B" w:rsidRDefault="0031417A" w:rsidP="000436E8">
      <w:pPr>
        <w:ind w:firstLine="708"/>
        <w:jc w:val="both"/>
        <w:rPr>
          <w:szCs w:val="28"/>
        </w:rPr>
      </w:pPr>
      <w:r>
        <w:t>Також з</w:t>
      </w:r>
      <w:r w:rsidR="000436E8">
        <w:t xml:space="preserve">вертаємо увагу, що </w:t>
      </w:r>
      <w:r w:rsidR="000436E8">
        <w:rPr>
          <w:szCs w:val="28"/>
        </w:rPr>
        <w:t>предметом</w:t>
      </w:r>
      <w:r w:rsidR="000436E8">
        <w:rPr>
          <w:szCs w:val="28"/>
        </w:rPr>
        <w:t xml:space="preserve"> регулювання відносин за преамбулою пропонованого проекту «Закону України «Про правову охорону географ</w:t>
      </w:r>
      <w:r w:rsidR="000436E8">
        <w:rPr>
          <w:szCs w:val="28"/>
        </w:rPr>
        <w:t>ічних зазначень» (далі – Закон)</w:t>
      </w:r>
      <w:r w:rsidR="000436E8">
        <w:rPr>
          <w:szCs w:val="28"/>
        </w:rPr>
        <w:t xml:space="preserve"> </w:t>
      </w:r>
      <w:r w:rsidR="00ED6B19">
        <w:rPr>
          <w:szCs w:val="28"/>
        </w:rPr>
        <w:t>визначаються</w:t>
      </w:r>
      <w:r w:rsidR="000436E8">
        <w:rPr>
          <w:szCs w:val="28"/>
        </w:rPr>
        <w:t xml:space="preserve"> «</w:t>
      </w:r>
      <w:r w:rsidR="000436E8" w:rsidRPr="000436E8">
        <w:rPr>
          <w:b/>
          <w:szCs w:val="28"/>
        </w:rPr>
        <w:t>засади правової охорони географічних зазначень в Україні</w:t>
      </w:r>
      <w:r w:rsidR="000436E8">
        <w:rPr>
          <w:szCs w:val="28"/>
        </w:rPr>
        <w:t>», однак</w:t>
      </w:r>
      <w:r w:rsidR="005C40A1">
        <w:rPr>
          <w:szCs w:val="28"/>
        </w:rPr>
        <w:t xml:space="preserve"> за умови, що</w:t>
      </w:r>
      <w:r w:rsidR="000436E8">
        <w:rPr>
          <w:szCs w:val="28"/>
        </w:rPr>
        <w:t xml:space="preserve"> </w:t>
      </w:r>
      <w:r w:rsidR="000436E8" w:rsidRPr="0074000F">
        <w:rPr>
          <w:szCs w:val="28"/>
        </w:rPr>
        <w:t>«</w:t>
      </w:r>
      <w:r w:rsidR="000436E8" w:rsidRPr="0091334E">
        <w:rPr>
          <w:b/>
          <w:szCs w:val="28"/>
        </w:rPr>
        <w:t>особливості</w:t>
      </w:r>
      <w:r w:rsidR="000436E8" w:rsidRPr="0074000F">
        <w:rPr>
          <w:szCs w:val="28"/>
        </w:rPr>
        <w:t xml:space="preserve"> </w:t>
      </w:r>
      <w:r w:rsidR="000436E8" w:rsidRPr="0074000F">
        <w:rPr>
          <w:szCs w:val="28"/>
        </w:rPr>
        <w:lastRenderedPageBreak/>
        <w:t xml:space="preserve">підготовки до реєстрації, використання та захисту географічних зазначень щодо </w:t>
      </w:r>
      <w:r w:rsidR="000436E8" w:rsidRPr="008145A5">
        <w:rPr>
          <w:b/>
          <w:szCs w:val="28"/>
        </w:rPr>
        <w:t xml:space="preserve">сільськогосподарської продукції (сільськогосподарських товарів), харчових продуктів, вин, ароматизованих винних продуктів, спиртних напоїв, а також контролю щодо таких географічних зазначень визначаються </w:t>
      </w:r>
      <w:r w:rsidR="00275EE1">
        <w:rPr>
          <w:b/>
          <w:szCs w:val="28"/>
        </w:rPr>
        <w:t>іншими законами</w:t>
      </w:r>
      <w:r w:rsidR="000436E8" w:rsidRPr="0074000F">
        <w:rPr>
          <w:szCs w:val="28"/>
        </w:rPr>
        <w:t>».</w:t>
      </w:r>
      <w:r w:rsidR="000436E8">
        <w:rPr>
          <w:szCs w:val="28"/>
        </w:rPr>
        <w:t xml:space="preserve"> </w:t>
      </w:r>
      <w:r w:rsidR="000436E8">
        <w:rPr>
          <w:szCs w:val="28"/>
        </w:rPr>
        <w:t xml:space="preserve">Тобто одночасно </w:t>
      </w:r>
      <w:r w:rsidR="000436E8">
        <w:rPr>
          <w:szCs w:val="28"/>
        </w:rPr>
        <w:t xml:space="preserve">із </w:t>
      </w:r>
      <w:r w:rsidR="00960B7A">
        <w:rPr>
          <w:szCs w:val="28"/>
        </w:rPr>
        <w:t>визначенням</w:t>
      </w:r>
      <w:r w:rsidR="00DC3770">
        <w:rPr>
          <w:szCs w:val="28"/>
        </w:rPr>
        <w:t xml:space="preserve"> предмета</w:t>
      </w:r>
      <w:r w:rsidR="008B6362">
        <w:rPr>
          <w:szCs w:val="28"/>
        </w:rPr>
        <w:t xml:space="preserve"> регулювання із нього </w:t>
      </w:r>
      <w:r w:rsidR="00960B7A">
        <w:rPr>
          <w:szCs w:val="28"/>
        </w:rPr>
        <w:t>фактично вилучається</w:t>
      </w:r>
      <w:r w:rsidR="000436E8">
        <w:rPr>
          <w:szCs w:val="28"/>
        </w:rPr>
        <w:t xml:space="preserve"> </w:t>
      </w:r>
      <w:r w:rsidR="000436E8">
        <w:rPr>
          <w:szCs w:val="28"/>
        </w:rPr>
        <w:t xml:space="preserve"> переважна</w:t>
      </w:r>
      <w:r w:rsidR="000436E8">
        <w:rPr>
          <w:szCs w:val="28"/>
        </w:rPr>
        <w:t xml:space="preserve"> більшість (практично усі) відносин, які </w:t>
      </w:r>
      <w:r w:rsidR="008B6362">
        <w:rPr>
          <w:szCs w:val="28"/>
        </w:rPr>
        <w:t xml:space="preserve">й </w:t>
      </w:r>
      <w:r w:rsidR="000436E8">
        <w:rPr>
          <w:szCs w:val="28"/>
        </w:rPr>
        <w:t xml:space="preserve">мають </w:t>
      </w:r>
      <w:r w:rsidR="00960B7A">
        <w:rPr>
          <w:szCs w:val="28"/>
        </w:rPr>
        <w:t>його</w:t>
      </w:r>
      <w:r w:rsidR="00960B7A">
        <w:rPr>
          <w:szCs w:val="28"/>
        </w:rPr>
        <w:t xml:space="preserve"> </w:t>
      </w:r>
      <w:r w:rsidR="000436E8">
        <w:rPr>
          <w:szCs w:val="28"/>
        </w:rPr>
        <w:t>становити</w:t>
      </w:r>
      <w:r w:rsidR="00737A9F">
        <w:rPr>
          <w:szCs w:val="28"/>
        </w:rPr>
        <w:t xml:space="preserve"> та</w:t>
      </w:r>
      <w:r w:rsidR="000436E8">
        <w:rPr>
          <w:szCs w:val="28"/>
        </w:rPr>
        <w:t xml:space="preserve"> вимоги до регулювання яких передбачаються правом Європейського співтовариства (наприклад, </w:t>
      </w:r>
      <w:r w:rsidR="000436E8">
        <w:rPr>
          <w:bCs/>
          <w:szCs w:val="28"/>
        </w:rPr>
        <w:t>Регламент</w:t>
      </w:r>
      <w:r w:rsidR="000436E8" w:rsidRPr="006B4D5D">
        <w:rPr>
          <w:bCs/>
          <w:szCs w:val="28"/>
        </w:rPr>
        <w:t xml:space="preserve"> (ЄС) № 1151/2012 Європейського Парламенту </w:t>
      </w:r>
      <w:r w:rsidR="000436E8">
        <w:rPr>
          <w:bCs/>
          <w:szCs w:val="28"/>
        </w:rPr>
        <w:t>та Ради від 21 листопада 2012 року</w:t>
      </w:r>
      <w:r w:rsidR="000436E8" w:rsidRPr="006B4D5D">
        <w:rPr>
          <w:bCs/>
          <w:szCs w:val="28"/>
        </w:rPr>
        <w:t xml:space="preserve"> про системи гарантування якості сільськогосподарських продуктів та продуктів харчування</w:t>
      </w:r>
      <w:r w:rsidR="000436E8">
        <w:rPr>
          <w:szCs w:val="28"/>
        </w:rPr>
        <w:t xml:space="preserve">). </w:t>
      </w:r>
      <w:r w:rsidR="00EF473A">
        <w:rPr>
          <w:szCs w:val="28"/>
        </w:rPr>
        <w:t>При цьому</w:t>
      </w:r>
      <w:r w:rsidR="00FD1FA5">
        <w:rPr>
          <w:szCs w:val="28"/>
        </w:rPr>
        <w:t xml:space="preserve"> незрозуміло</w:t>
      </w:r>
      <w:r w:rsidR="00EF473A">
        <w:rPr>
          <w:szCs w:val="28"/>
        </w:rPr>
        <w:t>, яким</w:t>
      </w:r>
      <w:r w:rsidR="00275EE1">
        <w:rPr>
          <w:szCs w:val="28"/>
        </w:rPr>
        <w:t>и</w:t>
      </w:r>
      <w:r w:rsidR="0091334E">
        <w:rPr>
          <w:szCs w:val="28"/>
        </w:rPr>
        <w:t xml:space="preserve"> саме закон</w:t>
      </w:r>
      <w:r w:rsidR="00275EE1">
        <w:rPr>
          <w:szCs w:val="28"/>
        </w:rPr>
        <w:t>а</w:t>
      </w:r>
      <w:r w:rsidR="00EF473A">
        <w:rPr>
          <w:szCs w:val="28"/>
        </w:rPr>
        <w:t>м</w:t>
      </w:r>
      <w:r w:rsidR="00275EE1">
        <w:rPr>
          <w:szCs w:val="28"/>
        </w:rPr>
        <w:t>и</w:t>
      </w:r>
      <w:bookmarkStart w:id="0" w:name="_GoBack"/>
      <w:bookmarkEnd w:id="0"/>
      <w:r w:rsidR="00452095">
        <w:rPr>
          <w:szCs w:val="28"/>
        </w:rPr>
        <w:t xml:space="preserve"> надалі</w:t>
      </w:r>
      <w:r w:rsidR="0091334E">
        <w:rPr>
          <w:szCs w:val="28"/>
        </w:rPr>
        <w:t xml:space="preserve"> </w:t>
      </w:r>
      <w:r w:rsidR="00EF473A">
        <w:rPr>
          <w:szCs w:val="28"/>
        </w:rPr>
        <w:t xml:space="preserve">пропонується </w:t>
      </w:r>
      <w:r w:rsidR="00452095">
        <w:rPr>
          <w:szCs w:val="28"/>
        </w:rPr>
        <w:t xml:space="preserve">регулювати ці </w:t>
      </w:r>
      <w:r w:rsidR="0091334E">
        <w:rPr>
          <w:szCs w:val="28"/>
        </w:rPr>
        <w:t>«</w:t>
      </w:r>
      <w:r w:rsidR="00452095">
        <w:rPr>
          <w:szCs w:val="28"/>
        </w:rPr>
        <w:t>особливості</w:t>
      </w:r>
      <w:r w:rsidR="0091334E">
        <w:rPr>
          <w:szCs w:val="28"/>
        </w:rPr>
        <w:t xml:space="preserve">» </w:t>
      </w:r>
      <w:r w:rsidR="00452095">
        <w:rPr>
          <w:szCs w:val="28"/>
        </w:rPr>
        <w:t xml:space="preserve">щодо </w:t>
      </w:r>
      <w:r w:rsidR="0091334E">
        <w:rPr>
          <w:szCs w:val="28"/>
        </w:rPr>
        <w:t xml:space="preserve">географічних зазначень сільськогосподарської </w:t>
      </w:r>
      <w:r w:rsidR="00B630D2">
        <w:rPr>
          <w:szCs w:val="28"/>
        </w:rPr>
        <w:t xml:space="preserve">та </w:t>
      </w:r>
      <w:r w:rsidR="00B630D2">
        <w:rPr>
          <w:szCs w:val="28"/>
        </w:rPr>
        <w:t xml:space="preserve">іншої </w:t>
      </w:r>
      <w:r w:rsidR="0091334E">
        <w:rPr>
          <w:szCs w:val="28"/>
        </w:rPr>
        <w:t>п</w:t>
      </w:r>
      <w:r w:rsidR="0091334E">
        <w:rPr>
          <w:szCs w:val="28"/>
        </w:rPr>
        <w:t>родукції</w:t>
      </w:r>
      <w:r w:rsidR="00B630D2">
        <w:rPr>
          <w:szCs w:val="28"/>
        </w:rPr>
        <w:t>.</w:t>
      </w:r>
      <w:r w:rsidR="0091334E">
        <w:rPr>
          <w:szCs w:val="28"/>
        </w:rPr>
        <w:t xml:space="preserve"> </w:t>
      </w:r>
      <w:r w:rsidR="00452095">
        <w:rPr>
          <w:szCs w:val="28"/>
        </w:rPr>
        <w:t>Отже з</w:t>
      </w:r>
      <w:r w:rsidR="00B630D2">
        <w:rPr>
          <w:szCs w:val="28"/>
        </w:rPr>
        <w:t xml:space="preserve">а такого </w:t>
      </w:r>
      <w:r w:rsidR="00EF473A">
        <w:rPr>
          <w:szCs w:val="28"/>
        </w:rPr>
        <w:t>законодавчого підходу видається неможливим установити механізм регулювання відносин, вилучених із сфери</w:t>
      </w:r>
      <w:r w:rsidR="00452095">
        <w:rPr>
          <w:szCs w:val="28"/>
        </w:rPr>
        <w:t xml:space="preserve"> його дії, а також вважати назву</w:t>
      </w:r>
      <w:r w:rsidR="000436E8">
        <w:rPr>
          <w:szCs w:val="28"/>
        </w:rPr>
        <w:t xml:space="preserve"> Закону, де йдеться про сферу усіх географічних зазначень, </w:t>
      </w:r>
      <w:r w:rsidR="00452095">
        <w:rPr>
          <w:szCs w:val="28"/>
        </w:rPr>
        <w:t>такою, що</w:t>
      </w:r>
      <w:r w:rsidR="000436E8">
        <w:rPr>
          <w:szCs w:val="28"/>
        </w:rPr>
        <w:t xml:space="preserve"> відповідає його змісту</w:t>
      </w:r>
      <w:r w:rsidR="0084291F">
        <w:rPr>
          <w:szCs w:val="28"/>
        </w:rPr>
        <w:t>. Відтак, прийняття змін до Закону у пропонованій</w:t>
      </w:r>
      <w:r w:rsidR="000436E8">
        <w:rPr>
          <w:szCs w:val="28"/>
        </w:rPr>
        <w:t xml:space="preserve"> редакції позбавлене, на нашу думку, юридичного сенсу.</w:t>
      </w:r>
    </w:p>
    <w:p w:rsidR="00BA368F" w:rsidRPr="00BA368F" w:rsidRDefault="00DE5B23" w:rsidP="00BA368F">
      <w:pPr>
        <w:spacing w:before="120"/>
        <w:ind w:right="-70" w:firstLine="567"/>
        <w:jc w:val="both"/>
        <w:rPr>
          <w:color w:val="000000"/>
        </w:rPr>
      </w:pPr>
      <w:r>
        <w:rPr>
          <w:szCs w:val="28"/>
        </w:rPr>
        <w:t>У</w:t>
      </w:r>
      <w:r>
        <w:rPr>
          <w:szCs w:val="28"/>
        </w:rPr>
        <w:t xml:space="preserve"> законопроекті </w:t>
      </w:r>
      <w:r>
        <w:rPr>
          <w:szCs w:val="28"/>
        </w:rPr>
        <w:t xml:space="preserve">йдеться також про те, що «законодавство України про </w:t>
      </w:r>
      <w:r w:rsidR="00BA368F" w:rsidRPr="00E604B5">
        <w:rPr>
          <w:color w:val="000000"/>
        </w:rPr>
        <w:t xml:space="preserve">правову охорону географічних зазначень складається із цього Закону, </w:t>
      </w:r>
      <w:r w:rsidR="00BA368F" w:rsidRPr="00BA368F">
        <w:rPr>
          <w:color w:val="000000"/>
        </w:rPr>
        <w:t>законів</w:t>
      </w:r>
      <w:r w:rsidR="00BA368F" w:rsidRPr="00E604B5">
        <w:rPr>
          <w:color w:val="000000"/>
        </w:rPr>
        <w:t xml:space="preserve"> України “Про захист від недобросовісної конкуренції”, “Про охорону прав на торговельні марки», “Про захист прав споживачів”, “Про рекламу”, законів, що регулюють підготовку до реєстрації, використання та захист географічних зазначень щодо сільськогосподарської продукції (сільськогосподарських товарів), харчових продуктів, вин, ароматизованих винних продуктів, спиртних  напоїв, а також контроль щодо таких географічних зазначень, та </w:t>
      </w:r>
      <w:r w:rsidR="00BA368F" w:rsidRPr="00BA368F">
        <w:rPr>
          <w:color w:val="000000"/>
        </w:rPr>
        <w:t>інших нормативно-правових актів</w:t>
      </w:r>
      <w:r w:rsidR="00BA368F" w:rsidRPr="00BA368F">
        <w:rPr>
          <w:color w:val="000000"/>
        </w:rPr>
        <w:t>»</w:t>
      </w:r>
      <w:r w:rsidR="008565DD">
        <w:rPr>
          <w:color w:val="000000"/>
        </w:rPr>
        <w:t xml:space="preserve"> (</w:t>
      </w:r>
      <w:r w:rsidR="008431B9">
        <w:rPr>
          <w:color w:val="000000"/>
        </w:rPr>
        <w:t>пропонована редакція статті</w:t>
      </w:r>
      <w:r w:rsidR="008565DD">
        <w:rPr>
          <w:color w:val="000000"/>
        </w:rPr>
        <w:t xml:space="preserve"> 2 Закону)</w:t>
      </w:r>
      <w:r w:rsidR="00BA368F">
        <w:rPr>
          <w:color w:val="000000"/>
        </w:rPr>
        <w:t xml:space="preserve">, з яких частина законодавчих актів </w:t>
      </w:r>
      <w:r w:rsidR="00BA368F">
        <w:rPr>
          <w:szCs w:val="28"/>
        </w:rPr>
        <w:t>на сьогодні</w:t>
      </w:r>
      <w:r w:rsidR="00BA368F">
        <w:rPr>
          <w:szCs w:val="28"/>
        </w:rPr>
        <w:t xml:space="preserve"> не прийнята, а, отже, відповідні відносини </w:t>
      </w:r>
      <w:r w:rsidR="00534C43">
        <w:rPr>
          <w:szCs w:val="28"/>
        </w:rPr>
        <w:t>і</w:t>
      </w:r>
      <w:r w:rsidR="00BA368F">
        <w:rPr>
          <w:szCs w:val="28"/>
        </w:rPr>
        <w:t xml:space="preserve">з </w:t>
      </w:r>
      <w:r w:rsidR="00534C43">
        <w:rPr>
          <w:szCs w:val="28"/>
        </w:rPr>
        <w:t xml:space="preserve">набранням чинності </w:t>
      </w:r>
      <w:r w:rsidR="00BA368F">
        <w:rPr>
          <w:szCs w:val="28"/>
        </w:rPr>
        <w:t xml:space="preserve">цього Закону </w:t>
      </w:r>
      <w:r w:rsidR="009947AC">
        <w:rPr>
          <w:szCs w:val="28"/>
        </w:rPr>
        <w:t>можуть бути</w:t>
      </w:r>
      <w:r w:rsidR="00BA368F">
        <w:rPr>
          <w:szCs w:val="28"/>
        </w:rPr>
        <w:t xml:space="preserve"> виведені зі сфери законодавчого регулювання на невизначений</w:t>
      </w:r>
      <w:r w:rsidR="00BA368F" w:rsidRPr="004B7BA9">
        <w:rPr>
          <w:szCs w:val="28"/>
        </w:rPr>
        <w:t xml:space="preserve"> період</w:t>
      </w:r>
      <w:r w:rsidR="00BA368F">
        <w:rPr>
          <w:szCs w:val="28"/>
        </w:rPr>
        <w:t>.</w:t>
      </w:r>
    </w:p>
    <w:p w:rsidR="0031417A" w:rsidRPr="0031417A" w:rsidRDefault="0018764F" w:rsidP="00F079B7">
      <w:pPr>
        <w:ind w:firstLine="708"/>
        <w:jc w:val="both"/>
        <w:rPr>
          <w:szCs w:val="28"/>
        </w:rPr>
      </w:pPr>
      <w:r>
        <w:rPr>
          <w:szCs w:val="28"/>
        </w:rPr>
        <w:t>Водночас</w:t>
      </w:r>
      <w:r w:rsidR="0031417A">
        <w:rPr>
          <w:szCs w:val="28"/>
        </w:rPr>
        <w:t xml:space="preserve"> з огляду на зміст положення частини третьої </w:t>
      </w:r>
      <w:r w:rsidR="0031417A">
        <w:rPr>
          <w:szCs w:val="28"/>
        </w:rPr>
        <w:t>нової</w:t>
      </w:r>
      <w:r w:rsidR="0031417A">
        <w:rPr>
          <w:szCs w:val="28"/>
        </w:rPr>
        <w:t xml:space="preserve"> статті 9</w:t>
      </w:r>
      <w:r w:rsidR="0031417A">
        <w:rPr>
          <w:szCs w:val="28"/>
          <w:vertAlign w:val="superscript"/>
        </w:rPr>
        <w:t xml:space="preserve">1 </w:t>
      </w:r>
      <w:r w:rsidR="0031417A">
        <w:rPr>
          <w:szCs w:val="28"/>
        </w:rPr>
        <w:t>Закону</w:t>
      </w:r>
      <w:r>
        <w:rPr>
          <w:szCs w:val="28"/>
        </w:rPr>
        <w:t>,</w:t>
      </w:r>
      <w:r w:rsidR="0031417A">
        <w:rPr>
          <w:szCs w:val="28"/>
        </w:rPr>
        <w:t xml:space="preserve"> «особливі вимоги» (</w:t>
      </w:r>
      <w:r w:rsidR="009B2092">
        <w:rPr>
          <w:szCs w:val="28"/>
        </w:rPr>
        <w:t>про які йдеться у вище</w:t>
      </w:r>
      <w:r w:rsidR="0031417A">
        <w:rPr>
          <w:szCs w:val="28"/>
        </w:rPr>
        <w:t xml:space="preserve">зазначеній преамбулі </w:t>
      </w:r>
      <w:r w:rsidR="009B2092">
        <w:rPr>
          <w:szCs w:val="28"/>
        </w:rPr>
        <w:t xml:space="preserve">- </w:t>
      </w:r>
      <w:r w:rsidR="0031417A">
        <w:rPr>
          <w:szCs w:val="28"/>
        </w:rPr>
        <w:t>як такі, що визначаються законом) «можуть» (або не можуть) визначатися іншими законами, а також «затверджуються спеціально уповноваженими органами»</w:t>
      </w:r>
      <w:r w:rsidR="00F079B7">
        <w:rPr>
          <w:szCs w:val="28"/>
        </w:rPr>
        <w:t>, статус яких Законом не визначається. Такі внутрішні неузгодженості у тексті законопроекту</w:t>
      </w:r>
      <w:r w:rsidR="0086351B">
        <w:rPr>
          <w:szCs w:val="28"/>
        </w:rPr>
        <w:t>, у разі його прийняття як закону,</w:t>
      </w:r>
      <w:r w:rsidR="00F079B7">
        <w:rPr>
          <w:szCs w:val="28"/>
        </w:rPr>
        <w:t xml:space="preserve"> </w:t>
      </w:r>
      <w:r w:rsidR="0086351B">
        <w:rPr>
          <w:szCs w:val="28"/>
        </w:rPr>
        <w:t>унеможливля</w:t>
      </w:r>
      <w:r w:rsidR="00F079B7">
        <w:rPr>
          <w:szCs w:val="28"/>
        </w:rPr>
        <w:t>ть юри</w:t>
      </w:r>
      <w:r w:rsidR="0086351B">
        <w:rPr>
          <w:szCs w:val="28"/>
        </w:rPr>
        <w:t>дично коректне застосування законодавчих</w:t>
      </w:r>
      <w:r w:rsidR="00F079B7">
        <w:rPr>
          <w:szCs w:val="28"/>
        </w:rPr>
        <w:t xml:space="preserve"> положень на практиці.</w:t>
      </w:r>
    </w:p>
    <w:p w:rsidR="00032103" w:rsidRDefault="000A2DEA" w:rsidP="00032103">
      <w:pPr>
        <w:ind w:firstLine="708"/>
        <w:jc w:val="both"/>
      </w:pPr>
      <w:r>
        <w:t xml:space="preserve">Законопроектом передбачено також внесення змін до Декрету Кабінету Міністрів України «Про державне мито» </w:t>
      </w:r>
      <w:r w:rsidR="00B91697">
        <w:t xml:space="preserve"> (далі - Декрет) </w:t>
      </w:r>
      <w:r>
        <w:t>щодо справляння державного мита за реєстрацію географічного зазначення</w:t>
      </w:r>
      <w:r w:rsidR="00B94805">
        <w:t xml:space="preserve"> (</w:t>
      </w:r>
      <w:r w:rsidR="00B91697">
        <w:rPr>
          <w:szCs w:val="28"/>
        </w:rPr>
        <w:t>абзац одинадцятий підпункту “у” пункту 6 статті 3 Декрету</w:t>
      </w:r>
      <w:r w:rsidR="00B94805">
        <w:t>)</w:t>
      </w:r>
      <w:r>
        <w:t xml:space="preserve">. </w:t>
      </w:r>
      <w:r w:rsidR="005933BE">
        <w:t xml:space="preserve">Однак державна реєстрація такого </w:t>
      </w:r>
      <w:r w:rsidR="005933BE">
        <w:lastRenderedPageBreak/>
        <w:t>зазначення за своєю суттю є адміністративною послугою і тому за неї має справлятися адміністративний збір.</w:t>
      </w:r>
      <w:r w:rsidR="005933BE">
        <w:t xml:space="preserve"> </w:t>
      </w:r>
    </w:p>
    <w:p w:rsidR="00B94805" w:rsidRDefault="005933BE" w:rsidP="00032103">
      <w:pPr>
        <w:ind w:firstLine="708"/>
        <w:jc w:val="both"/>
      </w:pPr>
      <w:r>
        <w:t>С</w:t>
      </w:r>
      <w:r w:rsidR="00B94805" w:rsidRPr="001E6422">
        <w:t>лід зауважити</w:t>
      </w:r>
      <w:r w:rsidR="00B94805">
        <w:t xml:space="preserve"> також</w:t>
      </w:r>
      <w:r w:rsidR="00B94805" w:rsidRPr="001E6422">
        <w:t>, що відповідно до частини другої статті 92 Конституції України система оподаткування, податки і збори встановлюються</w:t>
      </w:r>
      <w:r w:rsidR="00B94805">
        <w:t xml:space="preserve"> </w:t>
      </w:r>
      <w:r w:rsidR="00B94805" w:rsidRPr="005933BE">
        <w:rPr>
          <w:u w:val="single"/>
        </w:rPr>
        <w:t>виключно законами України</w:t>
      </w:r>
      <w:r w:rsidR="00B94805" w:rsidRPr="001E6422">
        <w:t>. При цьому згідно з пунктом 1 Перехідних положень Конституції України закони та інші нормативні акти, прийняті до набуття чинності цією Конституцією, є чинними у частині, що не суперечить Конституції України.</w:t>
      </w:r>
      <w:r w:rsidR="00B94805">
        <w:t xml:space="preserve"> Зазначене стосується й відповідного Декрету, прийнятого у 1993 році.</w:t>
      </w:r>
    </w:p>
    <w:p w:rsidR="004853C7" w:rsidRDefault="004853C7" w:rsidP="00032103">
      <w:pPr>
        <w:ind w:firstLine="708"/>
        <w:jc w:val="both"/>
      </w:pPr>
      <w:r>
        <w:t xml:space="preserve">Відповідно до Конституції України (наприклад, статті 61, 92) притягнення до відповідальності здійснюється </w:t>
      </w:r>
      <w:r w:rsidRPr="004853C7">
        <w:rPr>
          <w:u w:val="single"/>
        </w:rPr>
        <w:t>за правопорушення, діяння, які є злочинами</w:t>
      </w:r>
      <w:r>
        <w:t>. Відтак, пропоновані положення статті 23 Закону, за якими «</w:t>
      </w:r>
      <w:r w:rsidRPr="00BF0CDC">
        <w:rPr>
          <w:u w:val="single"/>
        </w:rPr>
        <w:t>будь-яке</w:t>
      </w:r>
      <w:r>
        <w:t xml:space="preserve"> </w:t>
      </w:r>
      <w:r w:rsidRPr="004853C7">
        <w:rPr>
          <w:u w:val="single"/>
        </w:rPr>
        <w:t>посягання</w:t>
      </w:r>
      <w:r w:rsidRPr="004853C7">
        <w:t xml:space="preserve"> </w:t>
      </w:r>
      <w:r>
        <w:t>на права … тягне за собою відповідальність згідно із законом»</w:t>
      </w:r>
      <w:r w:rsidR="00CA3387">
        <w:t>,</w:t>
      </w:r>
      <w:r>
        <w:t xml:space="preserve"> потребують приведення у відповідність</w:t>
      </w:r>
      <w:r w:rsidR="00BF0CDC">
        <w:t xml:space="preserve"> до Конституції України.</w:t>
      </w:r>
      <w:r>
        <w:t xml:space="preserve"> </w:t>
      </w:r>
    </w:p>
    <w:p w:rsidR="00546781" w:rsidRDefault="00546781" w:rsidP="00546781">
      <w:pPr>
        <w:pStyle w:val="a3"/>
        <w:ind w:left="0" w:firstLine="851"/>
        <w:jc w:val="both"/>
      </w:pPr>
      <w:r>
        <w:t xml:space="preserve">Пунктом 1 Прикінцевих </w:t>
      </w:r>
      <w:r>
        <w:t xml:space="preserve">та перехідних </w:t>
      </w:r>
      <w:r>
        <w:t xml:space="preserve">положень </w:t>
      </w:r>
      <w:r w:rsidR="00CA3387">
        <w:t>р</w:t>
      </w:r>
      <w:r w:rsidR="00E124A2">
        <w:t xml:space="preserve">озділу ІІ </w:t>
      </w:r>
      <w:r>
        <w:t xml:space="preserve">законопроекту встановлено, що відповідний Закон </w:t>
      </w:r>
      <w:r w:rsidRPr="00E0696D">
        <w:rPr>
          <w:u w:val="single"/>
        </w:rPr>
        <w:t xml:space="preserve">набирає чинності з </w:t>
      </w:r>
      <w:r w:rsidR="009770AF" w:rsidRPr="00E0696D">
        <w:rPr>
          <w:u w:val="single"/>
        </w:rPr>
        <w:t>«1 січня 2020 року</w:t>
      </w:r>
      <w:r w:rsidR="009770AF">
        <w:t>, крім пункту 5 цього розділу, який набирає чинності з дня опублікування цього Закону»</w:t>
      </w:r>
      <w:r>
        <w:t xml:space="preserve">. При цьому </w:t>
      </w:r>
      <w:r w:rsidR="00E124A2">
        <w:t>пунктом 5</w:t>
      </w:r>
      <w:r>
        <w:t xml:space="preserve"> </w:t>
      </w:r>
      <w:r w:rsidR="00CA3387">
        <w:t>цього р</w:t>
      </w:r>
      <w:r w:rsidR="00E124A2">
        <w:t xml:space="preserve">озділу </w:t>
      </w:r>
      <w:r>
        <w:t xml:space="preserve">Кабінету Міністрів України доручено забезпечити приведення відповідних нормативно-правових актів у відповідність із ним </w:t>
      </w:r>
      <w:r w:rsidR="00E0696D" w:rsidRPr="00E0696D">
        <w:rPr>
          <w:u w:val="single"/>
        </w:rPr>
        <w:t>у тримісячний</w:t>
      </w:r>
      <w:r w:rsidRPr="00E0696D">
        <w:rPr>
          <w:u w:val="single"/>
        </w:rPr>
        <w:t xml:space="preserve"> строк з дня набрання чинності цим Законом</w:t>
      </w:r>
      <w:r w:rsidR="00E0696D" w:rsidRPr="00E0696D">
        <w:rPr>
          <w:u w:val="single"/>
        </w:rPr>
        <w:t xml:space="preserve"> </w:t>
      </w:r>
      <w:r w:rsidR="00E0696D">
        <w:t>(тобто після 1 січня 2020 року)</w:t>
      </w:r>
      <w:r>
        <w:t>, що є юридично некоректним, оскільки реалізація чинних законодавчих положень  ставиться у залежність від прийняття у майбутньому підзак</w:t>
      </w:r>
      <w:r w:rsidR="00E124A2">
        <w:t>онних нормативно-правових актів (після введення в дію Закону).</w:t>
      </w:r>
      <w:r>
        <w:t xml:space="preserve"> </w:t>
      </w:r>
    </w:p>
    <w:p w:rsidR="00546781" w:rsidRDefault="00546781" w:rsidP="00546781">
      <w:pPr>
        <w:pStyle w:val="a3"/>
        <w:ind w:left="0" w:firstLine="709"/>
        <w:jc w:val="both"/>
      </w:pPr>
      <w:r>
        <w:t>Пункт</w:t>
      </w:r>
      <w:r w:rsidR="00E124A2">
        <w:t xml:space="preserve"> 2</w:t>
      </w:r>
      <w:r w:rsidR="009E1853" w:rsidRPr="009E1853">
        <w:t xml:space="preserve"> </w:t>
      </w:r>
      <w:r w:rsidR="009E1853">
        <w:t>Розділу ІІ</w:t>
      </w:r>
      <w:r>
        <w:t xml:space="preserve"> законопроекту, за яким «до приведення нормативно-правових актів, прийнятих до набрання чинності цим Законом, у відповідність із цим Законом вони діють у частині, що не суперечить цьому Закону», викладено без урахування принципу верховенства права (стаття 8 Конституції України), зокрема, такого невід’ємного його елементу, як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необхідності дотримання верховенства права неодноразово звертав увагу і Конституційний Суд України (рішення від 22.09.2005 № 5, від 29.06.2010 № 17, від 11.10.2011 №10). </w:t>
      </w:r>
    </w:p>
    <w:p w:rsidR="000A2DEA" w:rsidRDefault="009E1853" w:rsidP="009E1853">
      <w:pPr>
        <w:ind w:firstLine="708"/>
        <w:jc w:val="both"/>
      </w:pPr>
      <w:r>
        <w:t>Звертаємо увагу, що д</w:t>
      </w:r>
      <w:r w:rsidR="000A2DEA">
        <w:t xml:space="preserve">аний </w:t>
      </w:r>
      <w:r w:rsidR="00B17548">
        <w:t>законо</w:t>
      </w:r>
      <w:r w:rsidR="000A2DEA">
        <w:t xml:space="preserve">проект дублює однойменний </w:t>
      </w:r>
      <w:r w:rsidR="0086419B">
        <w:t>законопроект, який 13.03.2018</w:t>
      </w:r>
      <w:r w:rsidR="000A2DEA">
        <w:t xml:space="preserve"> був прийнятий Верховною Радою України у першому читанні</w:t>
      </w:r>
      <w:r w:rsidR="00CC4508">
        <w:t xml:space="preserve"> та</w:t>
      </w:r>
      <w:r w:rsidR="000A2DEA">
        <w:t xml:space="preserve"> у цьому скликанні зареєст</w:t>
      </w:r>
      <w:r w:rsidR="001C7050">
        <w:t>рований за № 0900, а відповідно до частини другої</w:t>
      </w:r>
      <w:r w:rsidR="000A2DEA">
        <w:t xml:space="preserve"> статті 106 Регламенту Верховної Ради України «прийняті Верховною Радою попереднього скликання в першому чи наступних читаннях законопроекти, але не прийняті в цілому, готуються і розглядаються Верховною </w:t>
      </w:r>
      <w:r w:rsidR="000A2DEA">
        <w:lastRenderedPageBreak/>
        <w:t xml:space="preserve">Радою нового скликання за процедурою підготовки до другого читання, встановленою цим Регламентом». </w:t>
      </w:r>
    </w:p>
    <w:p w:rsidR="007E63ED" w:rsidRDefault="00C20812" w:rsidP="007E63ED">
      <w:pPr>
        <w:pStyle w:val="a3"/>
        <w:ind w:left="0" w:firstLine="709"/>
        <w:jc w:val="both"/>
      </w:pPr>
      <w:r>
        <w:t>Також зазначаємо, що з</w:t>
      </w:r>
      <w:r w:rsidR="007E63ED">
        <w:t>аконопроект викладено у редакції, яка передбачає внесення значної кількості змін до Закону України «Про охорону прав на</w:t>
      </w:r>
      <w:r w:rsidR="007E63ED">
        <w:t xml:space="preserve"> зазначення походження товарів</w:t>
      </w:r>
      <w:r w:rsidR="007E63ED">
        <w:t>», у тому числі заміну слів у всьому його тексті</w:t>
      </w:r>
      <w:r w:rsidR="009C1B21">
        <w:t xml:space="preserve"> (</w:t>
      </w:r>
      <w:r w:rsidR="002F3852">
        <w:t>під</w:t>
      </w:r>
      <w:r w:rsidR="009C1B21">
        <w:t>пункти 22-24</w:t>
      </w:r>
      <w:r w:rsidR="002F3852">
        <w:t xml:space="preserve"> пункту </w:t>
      </w:r>
      <w:r w:rsidR="0076449A">
        <w:t>4 розділу І</w:t>
      </w:r>
      <w:r w:rsidR="009C1B21">
        <w:t>)</w:t>
      </w:r>
      <w:r w:rsidR="007E63ED">
        <w:t>, що зумовлює юридичну (остаточне змістовне з’ясування і логічне узгодження нових положень) та технічну необхідність вик</w:t>
      </w:r>
      <w:r w:rsidR="00E005B5">
        <w:t>ладення Закону у новій редакції та його техніко-юридичне доопрацювання.</w:t>
      </w:r>
    </w:p>
    <w:p w:rsidR="009D4A3E" w:rsidRDefault="009D4A3E" w:rsidP="003A7EBB">
      <w:pPr>
        <w:pStyle w:val="a3"/>
        <w:spacing w:after="0"/>
        <w:ind w:left="0" w:firstLine="709"/>
        <w:jc w:val="both"/>
      </w:pPr>
    </w:p>
    <w:p w:rsidR="003A7EBB" w:rsidRDefault="003A7EBB" w:rsidP="003A7EBB">
      <w:pPr>
        <w:pStyle w:val="a3"/>
        <w:spacing w:after="0"/>
        <w:ind w:left="0" w:firstLine="709"/>
        <w:jc w:val="both"/>
      </w:pPr>
      <w:r>
        <w:t>Зважаючи на викладене, законодавчий підхід, за якого допускаються незавершеність механізмів правового регулювання відносин, інші суттєві вади, на нашу думку, не відповідає вимогам щодо якості законів у контексті верховенства права.</w:t>
      </w:r>
    </w:p>
    <w:p w:rsidR="003A7EBB" w:rsidRDefault="003A7EBB" w:rsidP="00B0753F">
      <w:pPr>
        <w:jc w:val="both"/>
      </w:pPr>
    </w:p>
    <w:p w:rsidR="00875B12" w:rsidRDefault="00875B12" w:rsidP="00B0753F">
      <w:pPr>
        <w:jc w:val="both"/>
      </w:pPr>
    </w:p>
    <w:p w:rsidR="00E11C49" w:rsidRDefault="00E11C49" w:rsidP="00B0753F">
      <w:pPr>
        <w:jc w:val="both"/>
      </w:pPr>
    </w:p>
    <w:p w:rsidR="000A2DEA" w:rsidRPr="00875B12" w:rsidRDefault="00875B12" w:rsidP="00D54999">
      <w:pPr>
        <w:spacing w:after="0"/>
        <w:jc w:val="both"/>
      </w:pPr>
      <w:r w:rsidRPr="00875B12">
        <w:t>Заступник Керівника</w:t>
      </w:r>
    </w:p>
    <w:p w:rsidR="00875B12" w:rsidRPr="00875B12" w:rsidRDefault="00875B12" w:rsidP="00D54999">
      <w:pPr>
        <w:spacing w:after="0"/>
        <w:jc w:val="both"/>
      </w:pPr>
      <w:r w:rsidRPr="00875B12">
        <w:t>Головного управління</w:t>
      </w:r>
      <w:r>
        <w:tab/>
      </w:r>
      <w:r>
        <w:tab/>
      </w:r>
      <w:r>
        <w:tab/>
      </w:r>
      <w:r>
        <w:tab/>
      </w:r>
      <w:r>
        <w:tab/>
      </w:r>
      <w:r>
        <w:tab/>
      </w:r>
      <w:r>
        <w:tab/>
      </w:r>
      <w:r w:rsidR="00D54999">
        <w:tab/>
      </w:r>
      <w:r>
        <w:t xml:space="preserve">В. </w:t>
      </w:r>
      <w:proofErr w:type="spellStart"/>
      <w:r>
        <w:t>Мілованов</w:t>
      </w:r>
      <w:proofErr w:type="spellEnd"/>
    </w:p>
    <w:p w:rsidR="000A2DEA" w:rsidRDefault="000A2DEA" w:rsidP="00B0753F">
      <w:pPr>
        <w:jc w:val="both"/>
      </w:pPr>
    </w:p>
    <w:p w:rsidR="00B0753F" w:rsidRDefault="00B0753F">
      <w:pPr>
        <w:jc w:val="both"/>
      </w:pPr>
    </w:p>
    <w:sectPr w:rsidR="00B0753F">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C06" w:rsidRDefault="00EE0C06" w:rsidP="00EE0C06">
      <w:pPr>
        <w:spacing w:after="0" w:line="240" w:lineRule="auto"/>
      </w:pPr>
      <w:r>
        <w:separator/>
      </w:r>
    </w:p>
  </w:endnote>
  <w:endnote w:type="continuationSeparator" w:id="0">
    <w:p w:rsidR="00EE0C06" w:rsidRDefault="00EE0C06" w:rsidP="00EE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938208"/>
      <w:docPartObj>
        <w:docPartGallery w:val="Page Numbers (Bottom of Page)"/>
        <w:docPartUnique/>
      </w:docPartObj>
    </w:sdtPr>
    <w:sdtContent>
      <w:p w:rsidR="00EE0C06" w:rsidRDefault="00EE0C06">
        <w:pPr>
          <w:pStyle w:val="a6"/>
          <w:jc w:val="center"/>
        </w:pPr>
        <w:r>
          <w:fldChar w:fldCharType="begin"/>
        </w:r>
        <w:r>
          <w:instrText>PAGE   \* MERGEFORMAT</w:instrText>
        </w:r>
        <w:r>
          <w:fldChar w:fldCharType="separate"/>
        </w:r>
        <w:r w:rsidR="00275EE1">
          <w:rPr>
            <w:noProof/>
          </w:rPr>
          <w:t>3</w:t>
        </w:r>
        <w:r>
          <w:fldChar w:fldCharType="end"/>
        </w:r>
      </w:p>
    </w:sdtContent>
  </w:sdt>
  <w:p w:rsidR="00EE0C06" w:rsidRDefault="00EE0C0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C06" w:rsidRDefault="00EE0C06" w:rsidP="00EE0C06">
      <w:pPr>
        <w:spacing w:after="0" w:line="240" w:lineRule="auto"/>
      </w:pPr>
      <w:r>
        <w:separator/>
      </w:r>
    </w:p>
  </w:footnote>
  <w:footnote w:type="continuationSeparator" w:id="0">
    <w:p w:rsidR="00EE0C06" w:rsidRDefault="00EE0C06" w:rsidP="00EE0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4112D"/>
    <w:multiLevelType w:val="hybridMultilevel"/>
    <w:tmpl w:val="A704D568"/>
    <w:lvl w:ilvl="0" w:tplc="A612A334">
      <w:start w:val="1"/>
      <w:numFmt w:val="decimal"/>
      <w:lvlText w:val="%1)"/>
      <w:lvlJc w:val="left"/>
      <w:pPr>
        <w:ind w:left="1080" w:hanging="372"/>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DEA"/>
    <w:rsid w:val="00032103"/>
    <w:rsid w:val="000436E8"/>
    <w:rsid w:val="0007276E"/>
    <w:rsid w:val="000969F0"/>
    <w:rsid w:val="000A2DEA"/>
    <w:rsid w:val="000F62B2"/>
    <w:rsid w:val="00164842"/>
    <w:rsid w:val="0018764F"/>
    <w:rsid w:val="001C7050"/>
    <w:rsid w:val="001E0AD7"/>
    <w:rsid w:val="00205C9B"/>
    <w:rsid w:val="00275EE1"/>
    <w:rsid w:val="002F3852"/>
    <w:rsid w:val="0031417A"/>
    <w:rsid w:val="003443EA"/>
    <w:rsid w:val="003A7EBB"/>
    <w:rsid w:val="00452095"/>
    <w:rsid w:val="004633C2"/>
    <w:rsid w:val="004853C7"/>
    <w:rsid w:val="00493DA7"/>
    <w:rsid w:val="005204CF"/>
    <w:rsid w:val="00534C43"/>
    <w:rsid w:val="00536C52"/>
    <w:rsid w:val="00546781"/>
    <w:rsid w:val="0058623D"/>
    <w:rsid w:val="00591916"/>
    <w:rsid w:val="005933BE"/>
    <w:rsid w:val="005B4F71"/>
    <w:rsid w:val="005B50B6"/>
    <w:rsid w:val="005C40A1"/>
    <w:rsid w:val="00631159"/>
    <w:rsid w:val="0072234F"/>
    <w:rsid w:val="00737A9F"/>
    <w:rsid w:val="0076449A"/>
    <w:rsid w:val="007A2967"/>
    <w:rsid w:val="007A2EE7"/>
    <w:rsid w:val="007E63ED"/>
    <w:rsid w:val="0080033B"/>
    <w:rsid w:val="0084291F"/>
    <w:rsid w:val="008431B9"/>
    <w:rsid w:val="008565DD"/>
    <w:rsid w:val="0086351B"/>
    <w:rsid w:val="0086419B"/>
    <w:rsid w:val="00875B12"/>
    <w:rsid w:val="008B6362"/>
    <w:rsid w:val="008C6BE5"/>
    <w:rsid w:val="00907705"/>
    <w:rsid w:val="0091334E"/>
    <w:rsid w:val="00941E68"/>
    <w:rsid w:val="00960B7A"/>
    <w:rsid w:val="009770AF"/>
    <w:rsid w:val="009947AC"/>
    <w:rsid w:val="009B2092"/>
    <w:rsid w:val="009C1B21"/>
    <w:rsid w:val="009D4A3E"/>
    <w:rsid w:val="009E1853"/>
    <w:rsid w:val="00A03B46"/>
    <w:rsid w:val="00A4643D"/>
    <w:rsid w:val="00A63D1A"/>
    <w:rsid w:val="00A8401F"/>
    <w:rsid w:val="00AD3741"/>
    <w:rsid w:val="00AE2C11"/>
    <w:rsid w:val="00B0753F"/>
    <w:rsid w:val="00B17548"/>
    <w:rsid w:val="00B43985"/>
    <w:rsid w:val="00B54EE5"/>
    <w:rsid w:val="00B630D2"/>
    <w:rsid w:val="00B91697"/>
    <w:rsid w:val="00B94805"/>
    <w:rsid w:val="00BA368F"/>
    <w:rsid w:val="00BF0CDC"/>
    <w:rsid w:val="00C1307E"/>
    <w:rsid w:val="00C20812"/>
    <w:rsid w:val="00C37024"/>
    <w:rsid w:val="00C51E10"/>
    <w:rsid w:val="00C62698"/>
    <w:rsid w:val="00C85282"/>
    <w:rsid w:val="00CA3387"/>
    <w:rsid w:val="00CC4508"/>
    <w:rsid w:val="00D54999"/>
    <w:rsid w:val="00D67937"/>
    <w:rsid w:val="00DC3770"/>
    <w:rsid w:val="00DE5B23"/>
    <w:rsid w:val="00E005B5"/>
    <w:rsid w:val="00E02950"/>
    <w:rsid w:val="00E0696D"/>
    <w:rsid w:val="00E11C49"/>
    <w:rsid w:val="00E124A2"/>
    <w:rsid w:val="00E5278D"/>
    <w:rsid w:val="00E83AA1"/>
    <w:rsid w:val="00ED1C44"/>
    <w:rsid w:val="00ED6B19"/>
    <w:rsid w:val="00EE0C06"/>
    <w:rsid w:val="00EF3812"/>
    <w:rsid w:val="00EF473A"/>
    <w:rsid w:val="00F079B7"/>
    <w:rsid w:val="00F16CEB"/>
    <w:rsid w:val="00F921C0"/>
    <w:rsid w:val="00FD1F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D36D9"/>
  <w15:chartTrackingRefBased/>
  <w15:docId w15:val="{21348231-3CF0-4657-B525-718FF3B6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5C9B"/>
    <w:pPr>
      <w:ind w:left="720"/>
      <w:contextualSpacing/>
    </w:pPr>
  </w:style>
  <w:style w:type="paragraph" w:styleId="a4">
    <w:name w:val="header"/>
    <w:basedOn w:val="a"/>
    <w:link w:val="a5"/>
    <w:uiPriority w:val="99"/>
    <w:unhideWhenUsed/>
    <w:rsid w:val="00EE0C06"/>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E0C06"/>
  </w:style>
  <w:style w:type="paragraph" w:styleId="a6">
    <w:name w:val="footer"/>
    <w:basedOn w:val="a"/>
    <w:link w:val="a7"/>
    <w:uiPriority w:val="99"/>
    <w:unhideWhenUsed/>
    <w:rsid w:val="00EE0C06"/>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E0C06"/>
  </w:style>
  <w:style w:type="paragraph" w:styleId="a8">
    <w:name w:val="Balloon Text"/>
    <w:basedOn w:val="a"/>
    <w:link w:val="a9"/>
    <w:uiPriority w:val="99"/>
    <w:semiHidden/>
    <w:unhideWhenUsed/>
    <w:rsid w:val="008C6BE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C6B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43FD7-6259-4DBC-B03E-030A3278A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5035</Words>
  <Characters>2870</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10</cp:revision>
  <cp:lastPrinted>2019-09-19T12:44:00Z</cp:lastPrinted>
  <dcterms:created xsi:type="dcterms:W3CDTF">2019-09-19T13:58:00Z</dcterms:created>
  <dcterms:modified xsi:type="dcterms:W3CDTF">2019-09-19T15:27:00Z</dcterms:modified>
</cp:coreProperties>
</file>