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487" w:rsidRDefault="004E5487" w:rsidP="004E5487">
      <w:pPr>
        <w:spacing w:after="0"/>
        <w:ind w:right="-2"/>
        <w:jc w:val="right"/>
        <w:rPr>
          <w:rFonts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4"/>
          <w:lang w:eastAsia="ru-RU"/>
        </w:rPr>
        <w:t>Д</w:t>
      </w:r>
      <w:r w:rsidRPr="00805941">
        <w:rPr>
          <w:rFonts w:eastAsia="Times New Roman" w:cs="Times New Roman"/>
          <w:bCs/>
          <w:color w:val="000000"/>
          <w:sz w:val="24"/>
          <w:szCs w:val="24"/>
          <w:lang w:eastAsia="ru-RU"/>
        </w:rPr>
        <w:t>о реєстр. № 10</w:t>
      </w:r>
      <w:r>
        <w:rPr>
          <w:rFonts w:eastAsia="Times New Roman" w:cs="Times New Roman"/>
          <w:bCs/>
          <w:color w:val="000000"/>
          <w:sz w:val="24"/>
          <w:szCs w:val="24"/>
          <w:lang w:eastAsia="ru-RU"/>
        </w:rPr>
        <w:t>60</w:t>
      </w:r>
    </w:p>
    <w:p w:rsidR="004E5487" w:rsidRPr="00805941" w:rsidRDefault="004E5487" w:rsidP="004E5487">
      <w:pPr>
        <w:spacing w:after="0"/>
        <w:ind w:right="-2"/>
        <w:jc w:val="right"/>
        <w:rPr>
          <w:rFonts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bCs/>
          <w:color w:val="000000"/>
          <w:sz w:val="24"/>
          <w:szCs w:val="24"/>
          <w:lang w:eastAsia="ru-RU"/>
        </w:rPr>
        <w:t>(друге читання)</w:t>
      </w:r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7E3EBB" w:rsidRDefault="007E3EBB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7E3EBB" w:rsidRDefault="007E3EBB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7E3EBB" w:rsidRDefault="007E3EBB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  <w:bookmarkStart w:id="0" w:name="_GoBack"/>
      <w:bookmarkEnd w:id="0"/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  <w:r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ЗАУВАЖЕННЯ </w:t>
      </w:r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color w:val="000000"/>
          <w:szCs w:val="24"/>
          <w:lang w:eastAsia="ru-RU"/>
        </w:rPr>
      </w:pPr>
    </w:p>
    <w:p w:rsidR="004E5487" w:rsidRPr="000C25F6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Cs w:val="24"/>
          <w:lang w:eastAsia="ru-RU"/>
        </w:rPr>
        <w:t>до</w:t>
      </w:r>
      <w:r w:rsidRPr="000C25F6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</w:t>
      </w:r>
      <w:r>
        <w:rPr>
          <w:rFonts w:eastAsia="Times New Roman" w:cs="Times New Roman"/>
          <w:b/>
          <w:bCs/>
          <w:color w:val="000000"/>
          <w:szCs w:val="24"/>
          <w:lang w:eastAsia="ru-RU"/>
        </w:rPr>
        <w:t>проекту з</w:t>
      </w:r>
      <w:r w:rsidRPr="000C25F6">
        <w:rPr>
          <w:rFonts w:eastAsia="Times New Roman" w:cs="Times New Roman"/>
          <w:b/>
          <w:bCs/>
          <w:szCs w:val="28"/>
          <w:lang w:eastAsia="ru-RU"/>
        </w:rPr>
        <w:t xml:space="preserve">акону України «Про внесення змін до деяких </w:t>
      </w:r>
    </w:p>
    <w:p w:rsidR="004E5487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0C25F6">
        <w:rPr>
          <w:rFonts w:eastAsia="Times New Roman" w:cs="Times New Roman"/>
          <w:b/>
          <w:bCs/>
          <w:szCs w:val="28"/>
          <w:lang w:eastAsia="ru-RU"/>
        </w:rPr>
        <w:t>законодавчих актів України щодо</w:t>
      </w:r>
      <w:r>
        <w:rPr>
          <w:rFonts w:eastAsia="Times New Roman" w:cs="Times New Roman"/>
          <w:b/>
          <w:bCs/>
          <w:szCs w:val="28"/>
          <w:lang w:eastAsia="ru-RU"/>
        </w:rPr>
        <w:t xml:space="preserve"> удосконалення порядку ліцензування господарської діяльності</w:t>
      </w:r>
      <w:r w:rsidRPr="000C25F6">
        <w:rPr>
          <w:rFonts w:eastAsia="Times New Roman" w:cs="Times New Roman"/>
          <w:b/>
          <w:bCs/>
          <w:szCs w:val="28"/>
          <w:lang w:eastAsia="ru-RU"/>
        </w:rPr>
        <w:t xml:space="preserve">» </w:t>
      </w:r>
    </w:p>
    <w:p w:rsidR="004E5487" w:rsidRPr="000C25F6" w:rsidRDefault="004E5487" w:rsidP="004E5487">
      <w:pPr>
        <w:spacing w:after="0"/>
        <w:ind w:right="-2"/>
        <w:jc w:val="center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(реєстр. № 1060)</w:t>
      </w:r>
    </w:p>
    <w:p w:rsidR="004E5487" w:rsidRPr="000C25F6" w:rsidRDefault="004E5487" w:rsidP="004E5487">
      <w:pPr>
        <w:spacing w:after="0"/>
        <w:ind w:left="783" w:right="432"/>
        <w:jc w:val="center"/>
        <w:rPr>
          <w:rFonts w:eastAsia="Times New Roman" w:cs="Times New Roman"/>
          <w:color w:val="000000"/>
          <w:szCs w:val="24"/>
          <w:lang w:eastAsia="ru-RU"/>
        </w:rPr>
      </w:pPr>
    </w:p>
    <w:p w:rsidR="004E5487" w:rsidRDefault="004E5487" w:rsidP="004E5487">
      <w:pPr>
        <w:spacing w:after="0"/>
        <w:ind w:right="-1" w:firstLine="783"/>
        <w:rPr>
          <w:rFonts w:eastAsia="Times New Roman" w:cs="Times New Roman"/>
          <w:color w:val="000000"/>
          <w:szCs w:val="24"/>
          <w:lang w:eastAsia="ru-RU"/>
        </w:rPr>
      </w:pPr>
    </w:p>
    <w:p w:rsidR="004E5487" w:rsidRPr="00D668B5" w:rsidRDefault="004E5487" w:rsidP="004E5487">
      <w:pPr>
        <w:spacing w:after="0"/>
        <w:ind w:right="-2" w:firstLine="708"/>
        <w:rPr>
          <w:rFonts w:eastAsia="Calibri" w:cs="Times New Roman"/>
          <w:lang w:eastAsia="ru-RU"/>
        </w:rPr>
      </w:pPr>
      <w:r w:rsidRPr="00D668B5">
        <w:rPr>
          <w:rFonts w:eastAsia="Calibri" w:cs="Times New Roman"/>
          <w:lang w:eastAsia="ru-RU"/>
        </w:rPr>
        <w:t xml:space="preserve">У Головному юридичному управлінні </w:t>
      </w:r>
      <w:r>
        <w:rPr>
          <w:rFonts w:eastAsia="Calibri" w:cs="Times New Roman"/>
          <w:lang w:eastAsia="ru-RU"/>
        </w:rPr>
        <w:t>в межах відведеного часу опрацьовано</w:t>
      </w:r>
      <w:r w:rsidRPr="00D668B5">
        <w:rPr>
          <w:rFonts w:eastAsia="Calibri" w:cs="Times New Roman"/>
          <w:lang w:eastAsia="ru-RU"/>
        </w:rPr>
        <w:t xml:space="preserve"> текст проекту</w:t>
      </w:r>
      <w:r w:rsidRPr="000C1978">
        <w:rPr>
          <w:rFonts w:eastAsia="Calibri" w:cs="Times New Roman"/>
          <w:lang w:eastAsia="ru-RU"/>
        </w:rPr>
        <w:t xml:space="preserve"> </w:t>
      </w:r>
      <w:r>
        <w:rPr>
          <w:rFonts w:eastAsia="Calibri" w:cs="Times New Roman"/>
          <w:lang w:eastAsia="ru-RU"/>
        </w:rPr>
        <w:t xml:space="preserve">закону </w:t>
      </w:r>
      <w:r w:rsidRPr="000C1978">
        <w:rPr>
          <w:rFonts w:eastAsia="Times New Roman" w:cs="Times New Roman"/>
          <w:bCs/>
          <w:szCs w:val="28"/>
          <w:lang w:eastAsia="ru-RU"/>
        </w:rPr>
        <w:t>України «Про внесення змін до деяких законодавчих актів України щодо</w:t>
      </w:r>
      <w:r>
        <w:rPr>
          <w:rFonts w:eastAsia="Times New Roman" w:cs="Times New Roman"/>
          <w:bCs/>
          <w:szCs w:val="28"/>
          <w:lang w:eastAsia="ru-RU"/>
        </w:rPr>
        <w:t xml:space="preserve"> удосконалення порядку ліцензування господарської діяльності</w:t>
      </w:r>
      <w:r w:rsidRPr="000C1978">
        <w:rPr>
          <w:rFonts w:eastAsia="Times New Roman" w:cs="Times New Roman"/>
          <w:bCs/>
          <w:szCs w:val="28"/>
          <w:lang w:eastAsia="ru-RU"/>
        </w:rPr>
        <w:t xml:space="preserve">» </w:t>
      </w:r>
      <w:r w:rsidRPr="00D668B5">
        <w:rPr>
          <w:rFonts w:eastAsia="Calibri" w:cs="Times New Roman"/>
          <w:lang w:eastAsia="ru-RU"/>
        </w:rPr>
        <w:t xml:space="preserve"> (далі – проект), підготовлений до розгляду у другому читанні</w:t>
      </w:r>
      <w:r>
        <w:rPr>
          <w:rFonts w:eastAsia="Calibri" w:cs="Times New Roman"/>
          <w:lang w:eastAsia="ru-RU"/>
        </w:rPr>
        <w:t>, та зазначається таке.</w:t>
      </w:r>
    </w:p>
    <w:p w:rsidR="004E5487" w:rsidRDefault="004E5487" w:rsidP="004E5487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4E5487" w:rsidRDefault="004E5487" w:rsidP="004E5487">
      <w:pPr>
        <w:spacing w:after="0"/>
        <w:ind w:firstLine="540"/>
        <w:rPr>
          <w:szCs w:val="28"/>
          <w:lang w:eastAsia="ru-RU"/>
        </w:rPr>
      </w:pPr>
      <w:r>
        <w:rPr>
          <w:szCs w:val="28"/>
          <w:lang w:eastAsia="ru-RU"/>
        </w:rPr>
        <w:t>Аналіз проекту дає підстави дійти висновку: окремі його п</w:t>
      </w:r>
      <w:r w:rsidRPr="00956CA7">
        <w:rPr>
          <w:szCs w:val="28"/>
          <w:lang w:eastAsia="ru-RU"/>
        </w:rPr>
        <w:t>оложення</w:t>
      </w:r>
      <w:r w:rsidRPr="00956CA7">
        <w:rPr>
          <w:color w:val="000000"/>
          <w:szCs w:val="28"/>
          <w:lang w:eastAsia="ru-RU"/>
        </w:rPr>
        <w:t xml:space="preserve"> не </w:t>
      </w:r>
      <w:r>
        <w:rPr>
          <w:color w:val="000000"/>
          <w:szCs w:val="28"/>
          <w:lang w:eastAsia="ru-RU"/>
        </w:rPr>
        <w:t xml:space="preserve">відповідають та не </w:t>
      </w:r>
      <w:r w:rsidRPr="00956CA7">
        <w:rPr>
          <w:color w:val="000000"/>
          <w:szCs w:val="28"/>
          <w:lang w:eastAsia="ru-RU"/>
        </w:rPr>
        <w:t xml:space="preserve">узгоджуються із нормами Конституції та </w:t>
      </w:r>
      <w:r>
        <w:rPr>
          <w:color w:val="000000"/>
          <w:szCs w:val="28"/>
          <w:lang w:eastAsia="ru-RU"/>
        </w:rPr>
        <w:t xml:space="preserve">низки </w:t>
      </w:r>
      <w:r w:rsidRPr="00956CA7">
        <w:rPr>
          <w:color w:val="000000"/>
          <w:szCs w:val="28"/>
          <w:lang w:eastAsia="ru-RU"/>
        </w:rPr>
        <w:t xml:space="preserve">інших законів України, а також не враховують </w:t>
      </w:r>
      <w:r w:rsidRPr="00956CA7">
        <w:rPr>
          <w:szCs w:val="28"/>
          <w:lang w:eastAsia="ru-RU"/>
        </w:rPr>
        <w:t>правові позиції Конституційного Суду України, висловлені</w:t>
      </w:r>
      <w:r>
        <w:rPr>
          <w:szCs w:val="28"/>
          <w:lang w:eastAsia="ru-RU"/>
        </w:rPr>
        <w:t xml:space="preserve"> у його відповідних рішеннях.</w:t>
      </w:r>
    </w:p>
    <w:p w:rsidR="004E5487" w:rsidRDefault="00414846" w:rsidP="004E5487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szCs w:val="28"/>
          <w:lang w:eastAsia="ru-RU"/>
        </w:rPr>
        <w:t>З</w:t>
      </w:r>
      <w:r w:rsidR="004E5487">
        <w:rPr>
          <w:szCs w:val="28"/>
          <w:lang w:eastAsia="ru-RU"/>
        </w:rPr>
        <w:t xml:space="preserve">алишається актуальним </w:t>
      </w:r>
      <w:r w:rsidR="004E5487">
        <w:rPr>
          <w:rFonts w:eastAsia="Times New Roman" w:cs="Times New Roman"/>
          <w:szCs w:val="28"/>
          <w:lang w:eastAsia="ru-RU"/>
        </w:rPr>
        <w:t xml:space="preserve">висновок Головного науково-експертного управління до цього проекту, зокрема, стосовно </w:t>
      </w:r>
      <w:r w:rsidR="008337A1">
        <w:rPr>
          <w:rFonts w:eastAsia="Times New Roman" w:cs="Times New Roman"/>
          <w:szCs w:val="28"/>
          <w:lang w:eastAsia="ru-RU"/>
        </w:rPr>
        <w:t xml:space="preserve">доцільності </w:t>
      </w:r>
      <w:r w:rsidR="004E5487">
        <w:rPr>
          <w:rFonts w:eastAsia="Times New Roman" w:cs="Times New Roman"/>
          <w:szCs w:val="28"/>
          <w:lang w:eastAsia="ru-RU"/>
        </w:rPr>
        <w:t xml:space="preserve">внесення змін до законів України «Про </w:t>
      </w:r>
      <w:r w:rsidR="004E5487" w:rsidRPr="000C6B0C">
        <w:rPr>
          <w:szCs w:val="28"/>
        </w:rPr>
        <w:t>рекламу»</w:t>
      </w:r>
      <w:r w:rsidR="004E5487">
        <w:rPr>
          <w:szCs w:val="28"/>
        </w:rPr>
        <w:t xml:space="preserve">, </w:t>
      </w:r>
      <w:r w:rsidR="004E5487" w:rsidRPr="000C6B0C">
        <w:rPr>
          <w:szCs w:val="28"/>
        </w:rPr>
        <w:t>«Про захист суспільної моралі»</w:t>
      </w:r>
      <w:r w:rsidR="004E5487">
        <w:rPr>
          <w:szCs w:val="28"/>
        </w:rPr>
        <w:t>,</w:t>
      </w:r>
      <w:r w:rsidR="008337A1" w:rsidRPr="008337A1">
        <w:rPr>
          <w:szCs w:val="28"/>
        </w:rPr>
        <w:t xml:space="preserve"> </w:t>
      </w:r>
      <w:r w:rsidR="008337A1">
        <w:rPr>
          <w:szCs w:val="28"/>
        </w:rPr>
        <w:lastRenderedPageBreak/>
        <w:t>«</w:t>
      </w:r>
      <w:r w:rsidR="008337A1" w:rsidRPr="000C6B0C">
        <w:rPr>
          <w:szCs w:val="28"/>
        </w:rPr>
        <w:t>Про наркотичні засоби, психотропні речовини і прекурсори»</w:t>
      </w:r>
      <w:r w:rsidR="008337A1">
        <w:rPr>
          <w:szCs w:val="28"/>
        </w:rPr>
        <w:t xml:space="preserve"> тощо. </w:t>
      </w:r>
      <w:r w:rsidR="008337A1">
        <w:rPr>
          <w:szCs w:val="28"/>
        </w:rPr>
        <w:tab/>
        <w:t xml:space="preserve">Також слід звернути увагу на не системність внесення змін до деяких законодавчих актів України. </w:t>
      </w:r>
      <w:r>
        <w:rPr>
          <w:szCs w:val="28"/>
        </w:rPr>
        <w:t>Зокрема</w:t>
      </w:r>
      <w:r w:rsidR="008337A1">
        <w:rPr>
          <w:szCs w:val="28"/>
        </w:rPr>
        <w:t xml:space="preserve">, проектом вносяться зміни до Закону України «Про охорону навколишнього природного середовища» та пропонується виключити </w:t>
      </w:r>
      <w:r>
        <w:rPr>
          <w:szCs w:val="28"/>
        </w:rPr>
        <w:t>слова щодо</w:t>
      </w:r>
      <w:r w:rsidR="008337A1">
        <w:rPr>
          <w:szCs w:val="28"/>
        </w:rPr>
        <w:t xml:space="preserve"> </w:t>
      </w:r>
      <w:r>
        <w:rPr>
          <w:szCs w:val="28"/>
        </w:rPr>
        <w:t>«</w:t>
      </w:r>
      <w:r w:rsidR="00CD6328">
        <w:rPr>
          <w:szCs w:val="28"/>
        </w:rPr>
        <w:t>ліценз</w:t>
      </w:r>
      <w:r>
        <w:rPr>
          <w:szCs w:val="28"/>
        </w:rPr>
        <w:t xml:space="preserve">ій на проведення … </w:t>
      </w:r>
      <w:proofErr w:type="spellStart"/>
      <w:r>
        <w:rPr>
          <w:szCs w:val="28"/>
        </w:rPr>
        <w:t>землеоціночних</w:t>
      </w:r>
      <w:proofErr w:type="spellEnd"/>
      <w:r>
        <w:rPr>
          <w:szCs w:val="28"/>
        </w:rPr>
        <w:t xml:space="preserve"> робіт»</w:t>
      </w:r>
      <w:r w:rsidR="00CD6328">
        <w:rPr>
          <w:szCs w:val="28"/>
        </w:rPr>
        <w:t xml:space="preserve">. Натомість  в статті 6 Законі України «Про оцінку землі» йдеться </w:t>
      </w:r>
      <w:r>
        <w:rPr>
          <w:szCs w:val="28"/>
        </w:rPr>
        <w:t>про «</w:t>
      </w:r>
      <w:r>
        <w:rPr>
          <w:rStyle w:val="st42"/>
        </w:rPr>
        <w:t xml:space="preserve">ліцензію на виконання </w:t>
      </w:r>
      <w:proofErr w:type="spellStart"/>
      <w:r>
        <w:rPr>
          <w:rStyle w:val="st42"/>
        </w:rPr>
        <w:t>землеоціночних</w:t>
      </w:r>
      <w:proofErr w:type="spellEnd"/>
      <w:r>
        <w:rPr>
          <w:rStyle w:val="st42"/>
        </w:rPr>
        <w:t xml:space="preserve"> робіт»</w:t>
      </w:r>
    </w:p>
    <w:p w:rsidR="00414846" w:rsidRDefault="00414846" w:rsidP="004E5487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Крім того, н</w:t>
      </w:r>
      <w:r w:rsidR="004E5487">
        <w:rPr>
          <w:rFonts w:eastAsia="Times New Roman" w:cs="Times New Roman"/>
          <w:szCs w:val="28"/>
          <w:lang w:eastAsia="ru-RU"/>
        </w:rPr>
        <w:t xml:space="preserve">азва проекту </w:t>
      </w:r>
      <w:r>
        <w:rPr>
          <w:rFonts w:eastAsia="Times New Roman" w:cs="Times New Roman"/>
          <w:szCs w:val="28"/>
          <w:lang w:eastAsia="ru-RU"/>
        </w:rPr>
        <w:t xml:space="preserve">потребує уточнення, оскільки, наприклад, зміни, які вносяться проектом до Закону України «Про організацію формування та обігу кредитних історій», а саме, регулюються відносини щодо діяльності </w:t>
      </w:r>
      <w:r w:rsidRPr="00414846">
        <w:rPr>
          <w:rFonts w:eastAsia="Times New Roman" w:cs="Times New Roman"/>
          <w:szCs w:val="28"/>
          <w:lang w:eastAsia="ru-RU"/>
        </w:rPr>
        <w:t>бюро кредитних  історій</w:t>
      </w:r>
      <w:r>
        <w:rPr>
          <w:rFonts w:eastAsia="Times New Roman" w:cs="Times New Roman"/>
          <w:szCs w:val="28"/>
          <w:lang w:eastAsia="ru-RU"/>
        </w:rPr>
        <w:t xml:space="preserve"> та пропонується, що «діяльність Бюро здійснюється за умови відповідності вимогам, встановлених статтею 14 цього Закону та наявності Положення Бюро, затвердженого Уповноваженим органом. Положення Бюро, зокрема, повинно містити правила: а) збору, опрацювання, коригування та передавання інформації; б) надання кредитних звітів; в) зберігання та захисту інформації; г) ведення реєстру запитів кредитних історій». </w:t>
      </w:r>
    </w:p>
    <w:p w:rsidR="00414846" w:rsidRDefault="00414846" w:rsidP="004E5487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841D7B" w:rsidRDefault="00841D7B" w:rsidP="00841D7B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1. Частиною шостою статті 14 Закону України «Про ліцензування видів господарської діяльності» в редакції проекту передбачено, що «орган виконавчої влади, який реалізує державну політику у сферах казначейського обслуговування бюджетних коштів, … забезпечує органам ліцензування доступ  до інформації щодо внесення ліцензіатами плати … у порядку, встановленому центральним органом виконавчої влади, що забезпечує формування</w:t>
      </w:r>
      <w:r w:rsidRPr="00F4748B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державної політики у сфері казначейського обслуговування бюджетних коштів».</w:t>
      </w:r>
    </w:p>
    <w:p w:rsidR="00841D7B" w:rsidRPr="006E173D" w:rsidRDefault="00841D7B" w:rsidP="00841D7B">
      <w:pPr>
        <w:spacing w:after="0"/>
        <w:ind w:firstLine="540"/>
        <w:rPr>
          <w:rStyle w:val="st24"/>
          <w:b w:val="0"/>
          <w:szCs w:val="28"/>
        </w:rPr>
      </w:pPr>
      <w:r>
        <w:rPr>
          <w:rFonts w:eastAsia="Times New Roman" w:cs="Times New Roman"/>
          <w:szCs w:val="28"/>
          <w:lang w:eastAsia="ru-RU"/>
        </w:rPr>
        <w:t>Однак, це положення потребує узгодження зі статтею 19 Конституції України, за якою о</w:t>
      </w:r>
      <w:r>
        <w:rPr>
          <w:rStyle w:val="st42"/>
        </w:rPr>
        <w:t>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841D7B" w:rsidRDefault="00841D7B" w:rsidP="00841D7B">
      <w:pPr>
        <w:pStyle w:val="a3"/>
        <w:ind w:firstLine="708"/>
        <w:rPr>
          <w:rFonts w:eastAsia="Calibri" w:cs="Times New Roman"/>
        </w:rPr>
      </w:pPr>
    </w:p>
    <w:p w:rsidR="00841D7B" w:rsidRDefault="00841D7B" w:rsidP="00841D7B">
      <w:pPr>
        <w:pStyle w:val="a3"/>
        <w:ind w:firstLine="708"/>
        <w:rPr>
          <w:rFonts w:eastAsia="Times New Roman" w:cs="Times New Roman"/>
          <w:szCs w:val="28"/>
          <w:lang w:eastAsia="ru-RU"/>
        </w:rPr>
      </w:pPr>
      <w:r>
        <w:rPr>
          <w:lang w:eastAsia="ru-RU"/>
        </w:rPr>
        <w:t xml:space="preserve">2. Статтею 19 </w:t>
      </w:r>
      <w:r>
        <w:rPr>
          <w:rFonts w:eastAsia="Times New Roman" w:cs="Times New Roman"/>
          <w:szCs w:val="28"/>
          <w:lang w:eastAsia="ru-RU"/>
        </w:rPr>
        <w:t xml:space="preserve">Закону України «Про ліцензування видів господарської діяльності» в редакції проекту визначено, що «державний нагляд за додержанням органами ліцензування вимог законодавства у сфері ліцензування  здійснює спеціально уповноважений орган з питань ліцензування шляхом проведення планових та позапланових перевірок у порядку, встановленому Кабінетом Міністрів України». </w:t>
      </w:r>
    </w:p>
    <w:p w:rsidR="00841D7B" w:rsidRPr="000038ED" w:rsidRDefault="00841D7B" w:rsidP="00841D7B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szCs w:val="28"/>
        </w:rPr>
        <w:t xml:space="preserve"> Натомість, це положення також не узгоджується із </w:t>
      </w:r>
      <w:r>
        <w:rPr>
          <w:rFonts w:eastAsia="Times New Roman" w:cs="Times New Roman"/>
          <w:szCs w:val="28"/>
          <w:lang w:eastAsia="ru-RU"/>
        </w:rPr>
        <w:t>статтею 19 Конституції України, за якою о</w:t>
      </w:r>
      <w:r>
        <w:rPr>
          <w:rStyle w:val="st42"/>
        </w:rPr>
        <w:t xml:space="preserve">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 </w:t>
      </w:r>
    </w:p>
    <w:p w:rsidR="00841D7B" w:rsidRDefault="00841D7B" w:rsidP="004E5487">
      <w:pPr>
        <w:spacing w:after="0"/>
        <w:ind w:firstLine="540"/>
        <w:rPr>
          <w:szCs w:val="28"/>
        </w:rPr>
      </w:pPr>
    </w:p>
    <w:p w:rsidR="004E5487" w:rsidRPr="005A7F0A" w:rsidRDefault="00841D7B" w:rsidP="004E5487">
      <w:pPr>
        <w:spacing w:after="0"/>
        <w:ind w:firstLine="540"/>
        <w:rPr>
          <w:szCs w:val="28"/>
        </w:rPr>
      </w:pPr>
      <w:r>
        <w:rPr>
          <w:szCs w:val="28"/>
        </w:rPr>
        <w:t>3</w:t>
      </w:r>
      <w:r w:rsidR="00646557">
        <w:rPr>
          <w:szCs w:val="28"/>
        </w:rPr>
        <w:t>.</w:t>
      </w:r>
      <w:r w:rsidR="00C968EC">
        <w:rPr>
          <w:rFonts w:eastAsia="Times New Roman" w:cs="Times New Roman"/>
          <w:szCs w:val="28"/>
          <w:lang w:eastAsia="ru-RU"/>
        </w:rPr>
        <w:t xml:space="preserve"> </w:t>
      </w:r>
      <w:r w:rsidR="004E5487" w:rsidRPr="005A7F0A">
        <w:rPr>
          <w:szCs w:val="28"/>
        </w:rPr>
        <w:t xml:space="preserve">Відповідно до статті 8 Конституції України в Україні визнається </w:t>
      </w:r>
      <w:r w:rsidR="004E5487">
        <w:rPr>
          <w:szCs w:val="28"/>
        </w:rPr>
        <w:t>та</w:t>
      </w:r>
      <w:r w:rsidR="004E5487" w:rsidRPr="005A7F0A">
        <w:rPr>
          <w:szCs w:val="28"/>
        </w:rPr>
        <w:t xml:space="preserve"> діє принцип верховенства права. При цьому одним з основних фундаментальних елементів цього принципу є юридична визначеність, згідно з якою юридичні норми мають бути чіткими, ясними і недвозначними, оскільки інше не може забезпечити їх однакове застосування </w:t>
      </w:r>
      <w:r w:rsidR="004E5487">
        <w:rPr>
          <w:szCs w:val="28"/>
        </w:rPr>
        <w:t>і</w:t>
      </w:r>
      <w:r w:rsidR="004E5487" w:rsidRPr="005A7F0A">
        <w:rPr>
          <w:szCs w:val="28"/>
        </w:rPr>
        <w:t xml:space="preserve"> не виключає необмеженості трактування у правозастосовній практиці. На це </w:t>
      </w:r>
      <w:r w:rsidR="004E5487">
        <w:rPr>
          <w:szCs w:val="28"/>
        </w:rPr>
        <w:t xml:space="preserve">також </w:t>
      </w:r>
      <w:r w:rsidR="004E5487" w:rsidRPr="005A7F0A">
        <w:rPr>
          <w:szCs w:val="28"/>
        </w:rPr>
        <w:t>звертав увагу Конституційний Суд України у відповідних рішеннях від 22.09.2005 №5-рп, 29.06.2010 №17-рп, 11.10.2011 № 10-рп.</w:t>
      </w:r>
    </w:p>
    <w:p w:rsidR="004E5487" w:rsidRPr="005A7F0A" w:rsidRDefault="004E5487" w:rsidP="004E5487">
      <w:pPr>
        <w:spacing w:after="0"/>
        <w:ind w:firstLine="708"/>
        <w:rPr>
          <w:rFonts w:cstheme="minorBidi"/>
        </w:rPr>
      </w:pPr>
      <w:r w:rsidRPr="005A7F0A">
        <w:rPr>
          <w:rFonts w:cstheme="minorBidi"/>
        </w:rPr>
        <w:t xml:space="preserve">Європейський суд з прав людини також неодноразово підкреслював, що закони мають відповідати встановленому Конвенцією про захист прав людини і основоположних свобод стандарту, який вимагає достатньо чіткого формулювання правових норм у тексті нормативно-правових актів. Зокрема, «…Закон має бути доступним для зацікавлених осіб та сформованим з </w:t>
      </w:r>
      <w:r w:rsidRPr="005A7F0A">
        <w:rPr>
          <w:rFonts w:cstheme="minorBidi"/>
          <w:u w:val="single"/>
        </w:rPr>
        <w:t>достатньою точністю</w:t>
      </w:r>
      <w:r w:rsidRPr="005A7F0A">
        <w:rPr>
          <w:rFonts w:cstheme="minorBidi"/>
        </w:rPr>
        <w:t xml:space="preserve"> для того, щоб надати їм можливість регулювати свою поведінку аби бути здатними – за потреби, за відповідної консультації – </w:t>
      </w:r>
      <w:r w:rsidRPr="005A7F0A">
        <w:rPr>
          <w:rFonts w:cstheme="minorBidi"/>
          <w:u w:val="single"/>
        </w:rPr>
        <w:t>передбачати</w:t>
      </w:r>
      <w:r w:rsidRPr="005A7F0A">
        <w:rPr>
          <w:rFonts w:cstheme="minorBidi"/>
        </w:rPr>
        <w:t xml:space="preserve"> тією мірою, що є розумною за відповідних обставин, </w:t>
      </w:r>
      <w:r w:rsidRPr="005A7F0A">
        <w:rPr>
          <w:rFonts w:cstheme="minorBidi"/>
          <w:u w:val="single"/>
        </w:rPr>
        <w:t>наслідки</w:t>
      </w:r>
      <w:r w:rsidRPr="005A7F0A">
        <w:rPr>
          <w:rFonts w:cstheme="minorBidi"/>
        </w:rPr>
        <w:t>, які може потягнути за собою його дія» (рішення у справі «</w:t>
      </w:r>
      <w:proofErr w:type="spellStart"/>
      <w:r w:rsidRPr="005A7F0A">
        <w:rPr>
          <w:rFonts w:cstheme="minorBidi"/>
        </w:rPr>
        <w:t>Вєренцов</w:t>
      </w:r>
      <w:proofErr w:type="spellEnd"/>
      <w:r w:rsidRPr="005A7F0A">
        <w:rPr>
          <w:rFonts w:cstheme="minorBidi"/>
        </w:rPr>
        <w:t xml:space="preserve"> проти України, 11</w:t>
      </w:r>
      <w:r>
        <w:rPr>
          <w:rFonts w:cstheme="minorBidi"/>
        </w:rPr>
        <w:t>.04.</w:t>
      </w:r>
      <w:r w:rsidRPr="005A7F0A">
        <w:rPr>
          <w:rFonts w:cstheme="minorBidi"/>
        </w:rPr>
        <w:t>2013 р</w:t>
      </w:r>
      <w:r>
        <w:rPr>
          <w:rFonts w:cstheme="minorBidi"/>
        </w:rPr>
        <w:t>.</w:t>
      </w:r>
      <w:r w:rsidRPr="005A7F0A">
        <w:rPr>
          <w:rFonts w:cstheme="minorBidi"/>
        </w:rPr>
        <w:t xml:space="preserve">). </w:t>
      </w:r>
    </w:p>
    <w:p w:rsidR="004E5487" w:rsidRPr="005A7F0A" w:rsidRDefault="004E5487" w:rsidP="004E5487">
      <w:pPr>
        <w:ind w:firstLine="708"/>
        <w:rPr>
          <w:rFonts w:eastAsia="Times New Roman" w:cs="Times New Roman"/>
          <w:szCs w:val="28"/>
          <w:lang w:eastAsia="ru-RU"/>
        </w:rPr>
      </w:pPr>
      <w:r w:rsidRPr="005A7F0A">
        <w:lastRenderedPageBreak/>
        <w:t xml:space="preserve">Однак, незважаючи на зазначені вимоги, </w:t>
      </w:r>
      <w:r>
        <w:t>окремі положення</w:t>
      </w:r>
      <w:r w:rsidRPr="005A7F0A">
        <w:t xml:space="preserve"> проект</w:t>
      </w:r>
      <w:r>
        <w:t>у містя</w:t>
      </w:r>
      <w:r w:rsidRPr="005A7F0A">
        <w:t>ть юридичну невизначеність, яка полягає у</w:t>
      </w:r>
      <w:r>
        <w:t xml:space="preserve"> такому</w:t>
      </w:r>
      <w:r w:rsidRPr="005A7F0A">
        <w:t xml:space="preserve">. </w:t>
      </w:r>
    </w:p>
    <w:p w:rsidR="00646557" w:rsidRPr="002F741A" w:rsidRDefault="00646557" w:rsidP="00646557">
      <w:pPr>
        <w:spacing w:after="0"/>
        <w:ind w:firstLine="540"/>
        <w:rPr>
          <w:szCs w:val="28"/>
        </w:rPr>
      </w:pPr>
      <w:r>
        <w:rPr>
          <w:rFonts w:eastAsia="Times New Roman" w:cs="Times New Roman"/>
          <w:szCs w:val="28"/>
          <w:lang w:eastAsia="ru-RU"/>
        </w:rPr>
        <w:t>Так, п</w:t>
      </w:r>
      <w:r>
        <w:rPr>
          <w:szCs w:val="28"/>
        </w:rPr>
        <w:t xml:space="preserve">роектом вносяться зміни до Закону України «Про рекламу» та використовується термін, зміст якого не розкривається в цьому Законі, а саме, йдеться про «об’єкти, що класом наслідків (відповідальності) належать до об’єктів з середніми (СС») та значними (СС№) наслідками». </w:t>
      </w:r>
    </w:p>
    <w:p w:rsidR="00374A16" w:rsidRDefault="002D3B99" w:rsidP="002D3B99">
      <w:pPr>
        <w:spacing w:after="0"/>
        <w:ind w:firstLine="540"/>
        <w:rPr>
          <w:rStyle w:val="st42"/>
        </w:rPr>
      </w:pPr>
      <w:r>
        <w:rPr>
          <w:rStyle w:val="st42"/>
        </w:rPr>
        <w:t xml:space="preserve">Відповідно до змін, які вносяться проектом до </w:t>
      </w:r>
      <w:r>
        <w:rPr>
          <w:szCs w:val="28"/>
        </w:rPr>
        <w:t xml:space="preserve">Закону України </w:t>
      </w:r>
      <w:r>
        <w:rPr>
          <w:rFonts w:eastAsia="Times New Roman" w:cs="Times New Roman"/>
          <w:szCs w:val="28"/>
          <w:lang w:eastAsia="ru-RU"/>
        </w:rPr>
        <w:t>«Про ліцензування видів господарської діяльності», с</w:t>
      </w:r>
      <w:r>
        <w:rPr>
          <w:rStyle w:val="st42"/>
        </w:rPr>
        <w:t>пеціально уповноважений орган з питань ліцензування «веде … Реєстр розгляду скарг здобувачів ліцензій …» (стаття 4 Закону), «порядок формування, ведення ліцензійного реєстру… встановлюються Кабі</w:t>
      </w:r>
      <w:r w:rsidR="00374A16">
        <w:rPr>
          <w:rStyle w:val="st42"/>
        </w:rPr>
        <w:t>нетом Міністрів України» (стаття 18 Закону). Однак проектом не визначено адміністратора та держателя відповідних реєстрів.</w:t>
      </w:r>
    </w:p>
    <w:p w:rsidR="00374A16" w:rsidRDefault="00374A16" w:rsidP="002D3B99">
      <w:pPr>
        <w:spacing w:after="0"/>
        <w:ind w:firstLine="540"/>
        <w:rPr>
          <w:rStyle w:val="st42"/>
        </w:rPr>
      </w:pPr>
      <w:r>
        <w:rPr>
          <w:rStyle w:val="st42"/>
        </w:rPr>
        <w:t>Обраний спосіб повідомлення спеціально уповноваженим органом з питань ліцензування здобувача ліцензії чи ліцензіата</w:t>
      </w:r>
      <w:r w:rsidR="004E0E82">
        <w:rPr>
          <w:rStyle w:val="st42"/>
        </w:rPr>
        <w:t xml:space="preserve"> «за допомогою засобів телекомунікації» (статті 5 та 10 Закону), потребує уточнення в частині визначення конкретного засобу телекомунікації та моменту повідомлення зазначених осіб, оскільки реалізація норми проекту на практиці може призвести до порушення </w:t>
      </w:r>
      <w:r w:rsidR="00EE0FCD">
        <w:rPr>
          <w:rStyle w:val="st42"/>
        </w:rPr>
        <w:t xml:space="preserve">конституційних </w:t>
      </w:r>
      <w:r w:rsidR="004E0E82">
        <w:rPr>
          <w:rStyle w:val="st42"/>
        </w:rPr>
        <w:t>прав</w:t>
      </w:r>
      <w:r w:rsidR="00EE0FCD">
        <w:rPr>
          <w:rStyle w:val="st42"/>
        </w:rPr>
        <w:t xml:space="preserve"> громадян, зокрема, права на захист в суді (стаття 55 Конституції України).</w:t>
      </w:r>
    </w:p>
    <w:p w:rsidR="00374A16" w:rsidRDefault="00EE0FCD" w:rsidP="002D3B99">
      <w:pPr>
        <w:spacing w:after="0"/>
        <w:ind w:firstLine="540"/>
        <w:rPr>
          <w:rStyle w:val="st42"/>
        </w:rPr>
      </w:pPr>
      <w:r>
        <w:rPr>
          <w:rStyle w:val="st42"/>
        </w:rPr>
        <w:t xml:space="preserve">В </w:t>
      </w:r>
      <w:r>
        <w:rPr>
          <w:szCs w:val="28"/>
        </w:rPr>
        <w:t xml:space="preserve">Законі України </w:t>
      </w:r>
      <w:r>
        <w:rPr>
          <w:rFonts w:eastAsia="Times New Roman" w:cs="Times New Roman"/>
          <w:szCs w:val="28"/>
          <w:lang w:eastAsia="ru-RU"/>
        </w:rPr>
        <w:t>«Про ліцензування видів господарської діяльності» в редакції проекту використано ряд оціночних понять, які потребують уточнення, а саме: «</w:t>
      </w:r>
      <w:proofErr w:type="spellStart"/>
      <w:r>
        <w:rPr>
          <w:rFonts w:eastAsia="Times New Roman" w:cs="Times New Roman"/>
          <w:szCs w:val="28"/>
          <w:lang w:eastAsia="ru-RU"/>
        </w:rPr>
        <w:t>маломобільні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групи населення» (</w:t>
      </w:r>
      <w:r w:rsidR="00FC6D6C">
        <w:rPr>
          <w:rFonts w:eastAsia="Times New Roman" w:cs="Times New Roman"/>
          <w:szCs w:val="28"/>
          <w:lang w:eastAsia="ru-RU"/>
        </w:rPr>
        <w:t>стаття 9 Закону), «засіб провадження» (стаття 9 Закону), «</w:t>
      </w:r>
      <w:proofErr w:type="spellStart"/>
      <w:r w:rsidR="00FC6D6C">
        <w:rPr>
          <w:rFonts w:eastAsia="Times New Roman" w:cs="Times New Roman"/>
          <w:szCs w:val="28"/>
          <w:lang w:eastAsia="ru-RU"/>
        </w:rPr>
        <w:t>нарочно</w:t>
      </w:r>
      <w:proofErr w:type="spellEnd"/>
      <w:r w:rsidR="00FC6D6C">
        <w:rPr>
          <w:rFonts w:eastAsia="Times New Roman" w:cs="Times New Roman"/>
          <w:szCs w:val="28"/>
          <w:lang w:eastAsia="ru-RU"/>
        </w:rPr>
        <w:t>» (стаття 10 Закону), «обґрунтоване рішення» (стаття 13 Закону)</w:t>
      </w:r>
      <w:r w:rsidR="00F4748B">
        <w:rPr>
          <w:rFonts w:eastAsia="Times New Roman" w:cs="Times New Roman"/>
          <w:szCs w:val="28"/>
          <w:lang w:eastAsia="ru-RU"/>
        </w:rPr>
        <w:t>, «повного усунення» (стаття 16 Закону)</w:t>
      </w:r>
      <w:r w:rsidR="00FC6D6C">
        <w:rPr>
          <w:rFonts w:eastAsia="Times New Roman" w:cs="Times New Roman"/>
          <w:szCs w:val="28"/>
          <w:lang w:eastAsia="ru-RU"/>
        </w:rPr>
        <w:t xml:space="preserve"> тощо. </w:t>
      </w:r>
    </w:p>
    <w:p w:rsidR="002D3B99" w:rsidRDefault="002D3B99" w:rsidP="00646557">
      <w:pPr>
        <w:spacing w:after="0"/>
        <w:ind w:firstLine="540"/>
        <w:rPr>
          <w:rStyle w:val="st42"/>
        </w:rPr>
      </w:pPr>
    </w:p>
    <w:p w:rsidR="001E30D9" w:rsidRDefault="00841D7B" w:rsidP="001E30D9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val="ru-RU" w:eastAsia="ru-RU"/>
        </w:rPr>
        <w:lastRenderedPageBreak/>
        <w:t>4</w:t>
      </w:r>
      <w:r w:rsidR="001E30D9">
        <w:rPr>
          <w:rFonts w:eastAsia="Times New Roman" w:cs="Times New Roman"/>
          <w:szCs w:val="28"/>
          <w:lang w:val="ru-RU" w:eastAsia="ru-RU"/>
        </w:rPr>
        <w:t>.</w:t>
      </w:r>
      <w:r w:rsidR="001E30D9" w:rsidRPr="001E30D9">
        <w:rPr>
          <w:szCs w:val="28"/>
        </w:rPr>
        <w:t xml:space="preserve"> </w:t>
      </w:r>
      <w:r w:rsidR="001E30D9">
        <w:rPr>
          <w:szCs w:val="28"/>
        </w:rPr>
        <w:t xml:space="preserve">Проектом вносяться зміни до статі 1 Закону України </w:t>
      </w:r>
      <w:r w:rsidR="001E30D9">
        <w:rPr>
          <w:rFonts w:eastAsia="Times New Roman" w:cs="Times New Roman"/>
          <w:szCs w:val="28"/>
          <w:lang w:eastAsia="ru-RU"/>
        </w:rPr>
        <w:t>«Про ліцензування видів господарської діяльності» та передбачається, що «</w:t>
      </w:r>
      <w:r w:rsidR="001E30D9" w:rsidRPr="008F3243">
        <w:rPr>
          <w:rFonts w:eastAsia="Times New Roman" w:cs="Times New Roman"/>
          <w:szCs w:val="28"/>
          <w:u w:val="single"/>
          <w:lang w:eastAsia="ru-RU"/>
        </w:rPr>
        <w:t>ліцензія – право</w:t>
      </w:r>
      <w:r w:rsidR="001E30D9">
        <w:rPr>
          <w:rFonts w:eastAsia="Times New Roman" w:cs="Times New Roman"/>
          <w:szCs w:val="28"/>
          <w:lang w:eastAsia="ru-RU"/>
        </w:rPr>
        <w:t xml:space="preserve"> суб’єкта господарювання на провадження виду господарської діяльності…».  </w:t>
      </w:r>
    </w:p>
    <w:p w:rsidR="00BD5F04" w:rsidRDefault="001E30D9" w:rsidP="004E5487">
      <w:pPr>
        <w:spacing w:after="0"/>
        <w:ind w:firstLine="540"/>
        <w:rPr>
          <w:rStyle w:val="st42"/>
        </w:rPr>
      </w:pPr>
      <w:r w:rsidRPr="001E30D9">
        <w:rPr>
          <w:rFonts w:eastAsia="Times New Roman" w:cs="Times New Roman"/>
          <w:szCs w:val="28"/>
          <w:lang w:eastAsia="ru-RU"/>
        </w:rPr>
        <w:t xml:space="preserve">Проте, </w:t>
      </w:r>
      <w:r>
        <w:rPr>
          <w:rFonts w:eastAsia="Times New Roman" w:cs="Times New Roman"/>
          <w:szCs w:val="28"/>
          <w:lang w:eastAsia="ru-RU"/>
        </w:rPr>
        <w:t xml:space="preserve">це не узгоджується із </w:t>
      </w:r>
      <w:r w:rsidR="008F3243">
        <w:rPr>
          <w:rFonts w:eastAsia="Times New Roman" w:cs="Times New Roman"/>
          <w:szCs w:val="28"/>
          <w:lang w:eastAsia="ru-RU"/>
        </w:rPr>
        <w:t xml:space="preserve">визначенням поняття «ліцензія» в інших законах України, до яких не вносяться проектом зміни. Так, </w:t>
      </w:r>
      <w:r w:rsidR="00BD5F04">
        <w:rPr>
          <w:rFonts w:eastAsia="Times New Roman" w:cs="Times New Roman"/>
          <w:szCs w:val="28"/>
          <w:lang w:eastAsia="ru-RU"/>
        </w:rPr>
        <w:t>зокрема,</w:t>
      </w:r>
      <w:r w:rsidR="008F3243">
        <w:rPr>
          <w:rFonts w:eastAsia="Times New Roman" w:cs="Times New Roman"/>
          <w:szCs w:val="28"/>
          <w:lang w:eastAsia="ru-RU"/>
        </w:rPr>
        <w:t xml:space="preserve"> в статті 1 Закону України «Про телекомунікації» визначено, що «</w:t>
      </w:r>
      <w:r w:rsidR="008F3243" w:rsidRPr="008F3243">
        <w:rPr>
          <w:rStyle w:val="st42"/>
          <w:u w:val="single"/>
        </w:rPr>
        <w:t>ліцензія - документ</w:t>
      </w:r>
      <w:r w:rsidR="008F3243">
        <w:rPr>
          <w:rStyle w:val="st42"/>
        </w:rPr>
        <w:t>, що засвідчує право суб’єкта господарювання на здійснення зазначеного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8F3243">
        <w:rPr>
          <w:rStyle w:val="st42"/>
        </w:rPr>
        <w:t>в ньому виду діяльності …»</w:t>
      </w:r>
      <w:r w:rsidR="00BD5F04">
        <w:rPr>
          <w:rStyle w:val="st42"/>
        </w:rPr>
        <w:t xml:space="preserve">. </w:t>
      </w:r>
    </w:p>
    <w:p w:rsidR="001E30D9" w:rsidRPr="001E30D9" w:rsidRDefault="00BD5F04" w:rsidP="004E5487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rStyle w:val="st42"/>
        </w:rPr>
        <w:t>Принагідно звертаємо увагу на те, що в міжнародних документах, наприклад, в статті 3 Директиви Ради 2011</w:t>
      </w:r>
      <w:r>
        <w:rPr>
          <w:rStyle w:val="rvts23"/>
        </w:rPr>
        <w:t xml:space="preserve">/70/ЄВРАТОМ від 19 липня 2011 року про запровадження рамок Співтовариства для відповідального та безпечного управління відпрацьованим паливом та радіоактивними відходами термін «ліцензія» </w:t>
      </w:r>
      <w:r>
        <w:rPr>
          <w:rStyle w:val="rvts0"/>
        </w:rPr>
        <w:t xml:space="preserve">означає «будь-який юридичний документ, виданий в рамках юрисдикції будь-якої держави-члена на провадження будь-якої діяльності…».  </w:t>
      </w:r>
    </w:p>
    <w:p w:rsidR="001E30D9" w:rsidRPr="001E30D9" w:rsidRDefault="001E30D9" w:rsidP="004E5487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926EED" w:rsidRPr="00926EED" w:rsidRDefault="00841D7B" w:rsidP="00926EED">
      <w:pPr>
        <w:spacing w:line="259" w:lineRule="auto"/>
        <w:ind w:firstLine="708"/>
        <w:rPr>
          <w:rFonts w:cs="Times New Roman"/>
          <w:szCs w:val="28"/>
        </w:rPr>
      </w:pPr>
      <w:r>
        <w:rPr>
          <w:rFonts w:cs="Times New Roman"/>
          <w:szCs w:val="28"/>
        </w:rPr>
        <w:t>5</w:t>
      </w:r>
      <w:r w:rsidR="00926EED" w:rsidRPr="00926EED">
        <w:rPr>
          <w:rFonts w:cs="Times New Roman"/>
          <w:szCs w:val="28"/>
        </w:rPr>
        <w:t xml:space="preserve">. Зміни, що вносяться </w:t>
      </w:r>
      <w:r w:rsidR="00926EED" w:rsidRPr="001E30D9">
        <w:rPr>
          <w:rFonts w:cs="Times New Roman"/>
          <w:szCs w:val="28"/>
        </w:rPr>
        <w:t xml:space="preserve">проектом </w:t>
      </w:r>
      <w:r w:rsidR="00926EED" w:rsidRPr="00926EED">
        <w:rPr>
          <w:rFonts w:cs="Times New Roman"/>
          <w:szCs w:val="28"/>
        </w:rPr>
        <w:t xml:space="preserve">до статті 4, пункту 9 частини другої  статті 7, пункту 3 статті 8 Закону України «Про державне регулювання ринку цінних паперів в Україні», не враховують, що прийнятим </w:t>
      </w:r>
      <w:r w:rsidR="00926EED" w:rsidRPr="001E30D9">
        <w:rPr>
          <w:rFonts w:cs="Times New Roman"/>
          <w:szCs w:val="28"/>
        </w:rPr>
        <w:t xml:space="preserve">12 вересня </w:t>
      </w:r>
      <w:r w:rsidR="00926EED" w:rsidRPr="00926EED">
        <w:rPr>
          <w:rFonts w:cs="Times New Roman"/>
          <w:szCs w:val="28"/>
        </w:rPr>
        <w:t>2019 р. Законом України «Про внесення змін до деяких законодавчих актів України щодо удосконалення функцій із державного регулювання ринків фінансових послуг» (введення в дію передбачено з 01.07.2020 р.) редакція відповідних пунктів та статей була змінена.</w:t>
      </w:r>
    </w:p>
    <w:p w:rsidR="00926EED" w:rsidRPr="00926EED" w:rsidRDefault="00841D7B" w:rsidP="00926EED">
      <w:pPr>
        <w:spacing w:after="80" w:line="259" w:lineRule="auto"/>
        <w:ind w:firstLine="720"/>
        <w:rPr>
          <w:rFonts w:cstheme="minorBidi"/>
          <w:szCs w:val="28"/>
        </w:rPr>
      </w:pPr>
      <w:r>
        <w:rPr>
          <w:rFonts w:cs="Times New Roman"/>
          <w:szCs w:val="28"/>
        </w:rPr>
        <w:t>6</w:t>
      </w:r>
      <w:r w:rsidR="00926EED" w:rsidRPr="00926EED">
        <w:rPr>
          <w:rFonts w:cs="Times New Roman"/>
          <w:szCs w:val="28"/>
        </w:rPr>
        <w:t>. У змінах до частини першої статті 8 Закону України «Про рекламу» назви ліцензій  (ліцензія на «провадження господарської діяльності з надання фінансових послуг», на «управління майном для фінансування об’єктів будівництва та/або здійснення операцій з нерухомістю») не відповідають назвам відповідних ліцензій, що встановлюються прийнятим 12</w:t>
      </w:r>
      <w:r w:rsidR="00926EED">
        <w:rPr>
          <w:rFonts w:cs="Times New Roman"/>
          <w:szCs w:val="28"/>
        </w:rPr>
        <w:t xml:space="preserve"> вересня </w:t>
      </w:r>
      <w:r w:rsidR="00926EED" w:rsidRPr="00926EED">
        <w:rPr>
          <w:rFonts w:cs="Times New Roman"/>
          <w:szCs w:val="28"/>
        </w:rPr>
        <w:t xml:space="preserve">2019 р. Законом України «Про внесення змін до </w:t>
      </w:r>
      <w:r w:rsidR="00926EED" w:rsidRPr="00926EED">
        <w:rPr>
          <w:rFonts w:cs="Times New Roman"/>
          <w:szCs w:val="28"/>
        </w:rPr>
        <w:lastRenderedPageBreak/>
        <w:t>деяких законодавчих актів України щодо удосконалення функцій із державного регулювання ринків фінансових послуг» (ліцензія  на «провадження діяльності з надання фінансових послуг», на «</w:t>
      </w:r>
      <w:r w:rsidR="00926EED" w:rsidRPr="00926EED">
        <w:rPr>
          <w:rFonts w:cstheme="minorBidi"/>
          <w:szCs w:val="28"/>
        </w:rPr>
        <w:t>діяльність з управління майном для фінансування об’єктів будівництва та/або здійснення операцій з нерухомістю»).</w:t>
      </w:r>
    </w:p>
    <w:p w:rsidR="00646557" w:rsidRDefault="00646557" w:rsidP="004E5487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926EED" w:rsidRDefault="00841D7B" w:rsidP="004E5487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7</w:t>
      </w:r>
      <w:r w:rsidR="00926EED">
        <w:rPr>
          <w:rFonts w:eastAsia="Times New Roman" w:cs="Times New Roman"/>
          <w:szCs w:val="28"/>
          <w:lang w:eastAsia="ru-RU"/>
        </w:rPr>
        <w:t xml:space="preserve">. Відповідно до частини другої статті 8 Закону України «Про рекламу» в редакції проекту «розповсюджувачі реклами не можуть поширювати рекламу, якщо  відповідно до законодавства види діяльності  … вимагають наявності відповідних дозволу або ліцензій …». Разом з тим, це не узгоджується із </w:t>
      </w:r>
      <w:r w:rsidR="001E30D9">
        <w:rPr>
          <w:rFonts w:eastAsia="Times New Roman" w:cs="Times New Roman"/>
          <w:szCs w:val="28"/>
          <w:lang w:eastAsia="ru-RU"/>
        </w:rPr>
        <w:t xml:space="preserve">статтею 14 Господарського кодексу України, а також </w:t>
      </w:r>
      <w:r w:rsidR="00926EED">
        <w:rPr>
          <w:rFonts w:eastAsia="Times New Roman" w:cs="Times New Roman"/>
          <w:szCs w:val="28"/>
          <w:lang w:eastAsia="ru-RU"/>
        </w:rPr>
        <w:t xml:space="preserve">законами України «Про ліцензування видів господарської діяльності» та «Про дозвільну систему у сфері господарської діяльності», за якими виключно законом визначається вид діяльності, який ліцензується, чи </w:t>
      </w:r>
      <w:r w:rsidR="001A2BEE">
        <w:rPr>
          <w:rFonts w:eastAsia="Times New Roman" w:cs="Times New Roman"/>
          <w:szCs w:val="28"/>
          <w:lang w:eastAsia="ru-RU"/>
        </w:rPr>
        <w:t xml:space="preserve">вид дозвільного документу у сфері господарської діяльності. </w:t>
      </w:r>
    </w:p>
    <w:p w:rsidR="00926EED" w:rsidRPr="00926EED" w:rsidRDefault="00926EED" w:rsidP="004E5487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841D7B" w:rsidRDefault="00841D7B" w:rsidP="00841D7B">
      <w:pPr>
        <w:pStyle w:val="a3"/>
        <w:ind w:firstLine="540"/>
      </w:pPr>
      <w:r>
        <w:rPr>
          <w:rFonts w:eastAsia="Times New Roman" w:cs="Times New Roman"/>
          <w:szCs w:val="28"/>
          <w:lang w:eastAsia="ru-RU"/>
        </w:rPr>
        <w:t xml:space="preserve">8. </w:t>
      </w:r>
      <w:r>
        <w:t>Відповідно до пункту 22 частини першої статті 7 Закону України «Про здійснення видів господарської діяльності» ліцензуванню підлягає «</w:t>
      </w:r>
      <w:r w:rsidRPr="002D472F">
        <w:t xml:space="preserve">культивування рослин, включених до таблиці I Переліку наркотичних засобів, психотропних речовин і прекурсорів, затвердженого Кабінетом Міністрів України, розроблення, виробництво, виготовлення, зберігання, перевезення, придбання, реалізація (відпуск), ввезення на територію України, вивезення з території України, використання, знищення наркотичних засобів, психотропних речовин і прекурсорів, </w:t>
      </w:r>
      <w:r w:rsidRPr="002D472F">
        <w:rPr>
          <w:u w:val="single"/>
        </w:rPr>
        <w:t>включених до зазначеного Переліку, - з урахуванням особливостей, визначених Законом України "Про наркотичні засоби, психотропні речовини і прекурсори</w:t>
      </w:r>
      <w:r>
        <w:t xml:space="preserve">". </w:t>
      </w:r>
    </w:p>
    <w:p w:rsidR="00841D7B" w:rsidRDefault="00841D7B" w:rsidP="00841D7B">
      <w:pPr>
        <w:pStyle w:val="a3"/>
        <w:ind w:firstLine="540"/>
      </w:pPr>
      <w:r>
        <w:t xml:space="preserve">Однак проектом пропонується </w:t>
      </w:r>
      <w:r w:rsidRPr="00C8447F">
        <w:rPr>
          <w:u w:val="single"/>
        </w:rPr>
        <w:t>вилучити</w:t>
      </w:r>
      <w:r>
        <w:t xml:space="preserve"> із Закону</w:t>
      </w:r>
      <w:r w:rsidRPr="002D472F">
        <w:t xml:space="preserve"> України "Про наркотичні засоби, психотропні речовини і прекурсори"</w:t>
      </w:r>
      <w:r>
        <w:t xml:space="preserve"> положення щодо </w:t>
      </w:r>
      <w:r w:rsidRPr="00C8447F">
        <w:rPr>
          <w:u w:val="single"/>
        </w:rPr>
        <w:lastRenderedPageBreak/>
        <w:t>особливостей ліцензування діяльності з обігу наркотичних засобів, психотропних речовин і прекурсорів, за якими у відповідних ліцензіях зазначаються</w:t>
      </w:r>
      <w:r>
        <w:rPr>
          <w:u w:val="single"/>
        </w:rPr>
        <w:t>:</w:t>
      </w:r>
      <w:r>
        <w:t xml:space="preserve"> «</w:t>
      </w:r>
      <w:r w:rsidRPr="00C8447F">
        <w:t>перелік наркотичних засобів, психотропних речовин або прекурсорів, цілі та вид господарської діяльності, який може здійснювати суб’єкт господарювання, залежно від наявності і відповідності матеріально-технічної бази, кваліфікації працівників»</w:t>
      </w:r>
      <w:r>
        <w:t>; особи</w:t>
      </w:r>
      <w:r w:rsidRPr="00C855A8">
        <w:t>, які здійснюють</w:t>
      </w:r>
      <w:r>
        <w:t xml:space="preserve"> діяльність</w:t>
      </w:r>
      <w:r w:rsidRPr="00C855A8">
        <w:t xml:space="preserve"> з використання наркотичних засобів, психотропних речовин для навчальних та наукових цілей, кількість наркотичних засобів, психотропних речовин, а також порядок використання залишків наркотичних засобів, психотропних речовин після з</w:t>
      </w:r>
      <w:r>
        <w:t>авершення зазначеної діяльності</w:t>
      </w:r>
      <w:r w:rsidRPr="00C855A8">
        <w:t xml:space="preserve"> </w:t>
      </w:r>
      <w:r>
        <w:t xml:space="preserve">(зміни до частин шостої і восьмої статті 8 цього Закону). Такий підхід, на нашу думку, не повною мірою відповідає зазначеним вище положенням статті 7 </w:t>
      </w:r>
      <w:r w:rsidRPr="00CF2071">
        <w:t>Закону України «Про здійснення видів господарської діяльності»</w:t>
      </w:r>
      <w:r>
        <w:t xml:space="preserve">, а також положенням </w:t>
      </w:r>
      <w:r w:rsidRPr="00CF2071">
        <w:t>Закону України "Про наркотичні засоби, психотропні речовини і прекурсори"</w:t>
      </w:r>
      <w:r>
        <w:t xml:space="preserve">(наприклад, стаття 2) щодо урахування </w:t>
      </w:r>
      <w:r w:rsidRPr="00CF2071">
        <w:t xml:space="preserve">доцільності використання у медичній практиці </w:t>
      </w:r>
      <w:r>
        <w:t>наркотичних засобів, психотропних речовин і прекурсорів</w:t>
      </w:r>
      <w:r w:rsidRPr="00CF2071">
        <w:t xml:space="preserve"> залежно від ступеня їх небезпечності для здоров'я людини і застосовуваних заходів контролю за їх обігом відповідно пронумерованих списків таблиць Переліку</w:t>
      </w:r>
      <w:r>
        <w:t>.</w:t>
      </w:r>
    </w:p>
    <w:p w:rsidR="00841D7B" w:rsidRDefault="00841D7B" w:rsidP="00841D7B">
      <w:pPr>
        <w:pStyle w:val="a3"/>
        <w:ind w:firstLine="540"/>
      </w:pPr>
      <w:r>
        <w:t xml:space="preserve">Вважаємо також, що зазначений підхід  </w:t>
      </w:r>
      <w:r w:rsidRPr="00EC655E">
        <w:t xml:space="preserve">є вразливими в контексті вимог міжнародних актів, які регулюють питання обігу наркотичних засобів. Зокрема, </w:t>
      </w:r>
      <w:r>
        <w:t>йдеться про статті 12, 24 Конвенції</w:t>
      </w:r>
      <w:r w:rsidRPr="00EC655E">
        <w:t xml:space="preserve"> Організації Об'єднаних Націй про боротьбу проти незаконного обігу наркотичних засобів і психотропних речовин (підписана Україною: 16 березня 1989 р., набула чинності для України: 27 листопада 1991 р.)</w:t>
      </w:r>
      <w:r>
        <w:t>, за якою  с</w:t>
      </w:r>
      <w:r w:rsidRPr="00EC655E">
        <w:t>торони вживають заходи для запобігання відпливу речовин, включених до Таблиці I і Таблиці II</w:t>
      </w:r>
      <w:r>
        <w:t>,</w:t>
      </w:r>
      <w:r w:rsidRPr="00EC655E">
        <w:t xml:space="preserve"> здійснюють контроль над усіма особами і підприємствами, які виробляють і розповсюджують такі речовини або беруть участь у таком</w:t>
      </w:r>
      <w:r>
        <w:t xml:space="preserve">у виготовленні і розповсюдженні та </w:t>
      </w:r>
      <w:r w:rsidRPr="00EC655E">
        <w:t xml:space="preserve">можуть вживати більш строгі або суворі заходи, ніж ті, які передбачені цією Конвенцією, якщо, на їх </w:t>
      </w:r>
      <w:r w:rsidRPr="00EC655E">
        <w:lastRenderedPageBreak/>
        <w:t>думку, такі заходи є доцільними або необхідними для запобігання або припинення неза</w:t>
      </w:r>
      <w:r>
        <w:t>конного обігу</w:t>
      </w:r>
      <w:r w:rsidRPr="00EC655E">
        <w:t>.</w:t>
      </w:r>
    </w:p>
    <w:p w:rsidR="004E5487" w:rsidRDefault="004E5487" w:rsidP="00841D7B">
      <w:pPr>
        <w:pStyle w:val="a3"/>
        <w:rPr>
          <w:rFonts w:eastAsia="Times New Roman" w:cs="Times New Roman"/>
          <w:szCs w:val="28"/>
          <w:lang w:eastAsia="ru-RU"/>
        </w:rPr>
      </w:pPr>
    </w:p>
    <w:p w:rsidR="006F7E99" w:rsidRPr="00036D87" w:rsidRDefault="00841D7B" w:rsidP="006F7E99">
      <w:pPr>
        <w:pStyle w:val="a3"/>
        <w:ind w:firstLine="567"/>
        <w:rPr>
          <w:rFonts w:eastAsia="Calibri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9</w:t>
      </w:r>
      <w:r w:rsidR="006F7E99">
        <w:rPr>
          <w:rFonts w:eastAsia="Times New Roman" w:cs="Times New Roman"/>
          <w:szCs w:val="28"/>
          <w:lang w:eastAsia="ru-RU"/>
        </w:rPr>
        <w:t xml:space="preserve">. </w:t>
      </w:r>
      <w:r w:rsidR="006F7E99" w:rsidRPr="00036D87">
        <w:rPr>
          <w:rFonts w:eastAsia="Calibri" w:cs="Times New Roman"/>
          <w:szCs w:val="28"/>
          <w:lang w:eastAsia="ru-RU"/>
        </w:rPr>
        <w:t xml:space="preserve">Розділ </w:t>
      </w:r>
      <w:r w:rsidR="006F7E99">
        <w:rPr>
          <w:rFonts w:eastAsia="Calibri" w:cs="Times New Roman"/>
          <w:szCs w:val="28"/>
          <w:lang w:eastAsia="ru-RU"/>
        </w:rPr>
        <w:t xml:space="preserve">ІІ </w:t>
      </w:r>
      <w:r w:rsidR="006F7E99" w:rsidRPr="00036D87">
        <w:rPr>
          <w:rFonts w:eastAsia="Calibri" w:cs="Times New Roman"/>
          <w:szCs w:val="28"/>
          <w:lang w:eastAsia="ru-RU"/>
        </w:rPr>
        <w:t xml:space="preserve">«Прикінцеві положення» </w:t>
      </w:r>
      <w:r w:rsidR="006F7E99">
        <w:rPr>
          <w:rFonts w:eastAsia="Calibri" w:cs="Times New Roman"/>
          <w:szCs w:val="28"/>
          <w:lang w:eastAsia="ru-RU"/>
        </w:rPr>
        <w:t xml:space="preserve">проекту </w:t>
      </w:r>
      <w:r w:rsidR="006F7E99" w:rsidRPr="00036D87">
        <w:rPr>
          <w:rFonts w:eastAsia="Calibri" w:cs="Times New Roman"/>
          <w:szCs w:val="28"/>
          <w:lang w:eastAsia="ru-RU"/>
        </w:rPr>
        <w:t>щодо визначення строк</w:t>
      </w:r>
      <w:r w:rsidR="006F7E99">
        <w:rPr>
          <w:rFonts w:eastAsia="Calibri" w:cs="Times New Roman"/>
          <w:szCs w:val="28"/>
          <w:lang w:eastAsia="ru-RU"/>
        </w:rPr>
        <w:t>ів</w:t>
      </w:r>
      <w:r w:rsidR="006F7E99" w:rsidRPr="00036D87">
        <w:rPr>
          <w:rFonts w:eastAsia="Calibri" w:cs="Times New Roman"/>
          <w:szCs w:val="28"/>
          <w:lang w:eastAsia="ru-RU"/>
        </w:rPr>
        <w:t xml:space="preserve"> набрання чинності («цей Закон набирає чинності</w:t>
      </w:r>
      <w:r w:rsidR="006F7E99">
        <w:rPr>
          <w:rFonts w:eastAsia="Calibri" w:cs="Times New Roman"/>
          <w:szCs w:val="28"/>
          <w:lang w:eastAsia="ru-RU"/>
        </w:rPr>
        <w:t xml:space="preserve"> через два місяці з </w:t>
      </w:r>
      <w:r w:rsidR="006F7E99" w:rsidRPr="00036D87">
        <w:rPr>
          <w:rFonts w:eastAsia="Calibri" w:cs="Times New Roman"/>
          <w:szCs w:val="28"/>
          <w:lang w:eastAsia="ru-RU"/>
        </w:rPr>
        <w:t>дня, його опублікування</w:t>
      </w:r>
      <w:r w:rsidR="006F7E99">
        <w:rPr>
          <w:rFonts w:eastAsia="Calibri" w:cs="Times New Roman"/>
          <w:szCs w:val="28"/>
          <w:lang w:eastAsia="ru-RU"/>
        </w:rPr>
        <w:t>, крім абзаців …, які набирають чинності через шість місяців з дня його опублікування</w:t>
      </w:r>
      <w:r w:rsidR="006F7E99" w:rsidRPr="00036D87">
        <w:rPr>
          <w:rFonts w:eastAsia="Calibri" w:cs="Times New Roman"/>
          <w:szCs w:val="28"/>
          <w:lang w:eastAsia="ru-RU"/>
        </w:rPr>
        <w:t xml:space="preserve">») та надання доручення Кабінету Міністрів України </w:t>
      </w:r>
      <w:r w:rsidR="006F7E99">
        <w:rPr>
          <w:rFonts w:eastAsia="Calibri" w:cs="Times New Roman"/>
          <w:szCs w:val="28"/>
          <w:lang w:eastAsia="ru-RU"/>
        </w:rPr>
        <w:t>«</w:t>
      </w:r>
      <w:r w:rsidR="006F7E99" w:rsidRPr="00036D87">
        <w:rPr>
          <w:rFonts w:eastAsia="Calibri" w:cs="Times New Roman"/>
          <w:szCs w:val="28"/>
          <w:lang w:eastAsia="ru-RU"/>
        </w:rPr>
        <w:t xml:space="preserve">протягом </w:t>
      </w:r>
      <w:r w:rsidR="006F7E99">
        <w:rPr>
          <w:rFonts w:eastAsia="Calibri" w:cs="Times New Roman"/>
          <w:szCs w:val="28"/>
          <w:lang w:eastAsia="ru-RU"/>
        </w:rPr>
        <w:t>шести</w:t>
      </w:r>
      <w:r w:rsidR="006F7E99" w:rsidRPr="00036D87">
        <w:rPr>
          <w:rFonts w:eastAsia="Calibri" w:cs="Times New Roman"/>
          <w:szCs w:val="28"/>
          <w:lang w:eastAsia="ru-RU"/>
        </w:rPr>
        <w:t xml:space="preserve"> місяців з дня </w:t>
      </w:r>
      <w:r w:rsidR="006F7E99">
        <w:rPr>
          <w:rFonts w:eastAsia="Calibri" w:cs="Times New Roman"/>
          <w:szCs w:val="28"/>
          <w:lang w:eastAsia="ru-RU"/>
        </w:rPr>
        <w:t xml:space="preserve">набрання чинності цим </w:t>
      </w:r>
      <w:r w:rsidR="006F7E99" w:rsidRPr="00036D87">
        <w:rPr>
          <w:rFonts w:eastAsia="Calibri" w:cs="Times New Roman"/>
          <w:szCs w:val="28"/>
          <w:lang w:eastAsia="ru-RU"/>
        </w:rPr>
        <w:t>Закон</w:t>
      </w:r>
      <w:r w:rsidR="006F7E99">
        <w:rPr>
          <w:rFonts w:eastAsia="Calibri" w:cs="Times New Roman"/>
          <w:szCs w:val="28"/>
          <w:lang w:eastAsia="ru-RU"/>
        </w:rPr>
        <w:t>ом»</w:t>
      </w:r>
      <w:r w:rsidR="006F7E99" w:rsidRPr="00036D87">
        <w:rPr>
          <w:rFonts w:eastAsia="Calibri" w:cs="Times New Roman"/>
          <w:szCs w:val="28"/>
          <w:lang w:eastAsia="ru-RU"/>
        </w:rPr>
        <w:t xml:space="preserve"> привести свої нормативно-правові акти у відповідність із цим Законом</w:t>
      </w:r>
      <w:r w:rsidR="006F7E99">
        <w:rPr>
          <w:rFonts w:eastAsia="Calibri" w:cs="Times New Roman"/>
          <w:szCs w:val="28"/>
          <w:lang w:eastAsia="ru-RU"/>
        </w:rPr>
        <w:t xml:space="preserve"> …</w:t>
      </w:r>
      <w:r w:rsidR="006F7E99" w:rsidRPr="00036D87">
        <w:rPr>
          <w:rFonts w:eastAsia="Calibri" w:cs="Times New Roman"/>
          <w:szCs w:val="28"/>
          <w:lang w:eastAsia="ru-RU"/>
        </w:rPr>
        <w:t xml:space="preserve">, є юридично некоректними, оскільки реалізація норм </w:t>
      </w:r>
      <w:r w:rsidR="006F7E99">
        <w:rPr>
          <w:rFonts w:eastAsia="Calibri" w:cs="Times New Roman"/>
          <w:szCs w:val="28"/>
          <w:lang w:eastAsia="ru-RU"/>
        </w:rPr>
        <w:t>прийнятого з</w:t>
      </w:r>
      <w:r w:rsidR="006F7E99" w:rsidRPr="00036D87">
        <w:rPr>
          <w:rFonts w:eastAsia="Calibri" w:cs="Times New Roman"/>
          <w:szCs w:val="28"/>
          <w:lang w:eastAsia="ru-RU"/>
        </w:rPr>
        <w:t>акону ставиться в залежність від прийняття у майбутньому підзаконних нормативно-правових актів.</w:t>
      </w:r>
    </w:p>
    <w:p w:rsidR="006F7E99" w:rsidRDefault="006F7E99" w:rsidP="006F7E99">
      <w:pPr>
        <w:tabs>
          <w:tab w:val="right" w:pos="9356"/>
        </w:tabs>
        <w:spacing w:after="0"/>
        <w:ind w:right="-42" w:firstLine="709"/>
        <w:rPr>
          <w:rStyle w:val="st42"/>
        </w:rPr>
      </w:pPr>
    </w:p>
    <w:p w:rsidR="004E5487" w:rsidRDefault="004E5487" w:rsidP="004E5487">
      <w:pPr>
        <w:tabs>
          <w:tab w:val="right" w:pos="9356"/>
        </w:tabs>
        <w:spacing w:after="0"/>
        <w:ind w:right="-42" w:firstLine="709"/>
        <w:rPr>
          <w:szCs w:val="28"/>
        </w:rPr>
      </w:pPr>
    </w:p>
    <w:p w:rsidR="004E5487" w:rsidRDefault="004E5487" w:rsidP="004E5487">
      <w:pPr>
        <w:tabs>
          <w:tab w:val="right" w:pos="9356"/>
        </w:tabs>
        <w:spacing w:after="0"/>
        <w:ind w:right="-42" w:firstLine="709"/>
        <w:rPr>
          <w:szCs w:val="28"/>
        </w:rPr>
      </w:pPr>
      <w:r>
        <w:rPr>
          <w:szCs w:val="28"/>
        </w:rPr>
        <w:t xml:space="preserve">  </w:t>
      </w:r>
    </w:p>
    <w:p w:rsidR="004E5487" w:rsidRDefault="004E5487" w:rsidP="004E5487">
      <w:pPr>
        <w:tabs>
          <w:tab w:val="right" w:pos="9356"/>
        </w:tabs>
        <w:spacing w:after="0"/>
        <w:ind w:right="-42" w:firstLine="709"/>
        <w:rPr>
          <w:szCs w:val="28"/>
        </w:rPr>
      </w:pPr>
      <w:r>
        <w:rPr>
          <w:szCs w:val="28"/>
        </w:rPr>
        <w:t xml:space="preserve">Проект закону потребує техніко-юридичного доопрацювання. </w:t>
      </w:r>
    </w:p>
    <w:p w:rsidR="004E5487" w:rsidRDefault="004E5487" w:rsidP="004E5487">
      <w:pPr>
        <w:tabs>
          <w:tab w:val="right" w:pos="9356"/>
        </w:tabs>
        <w:spacing w:after="0"/>
        <w:ind w:right="-42" w:firstLine="709"/>
        <w:rPr>
          <w:rFonts w:eastAsia="Times New Roman" w:cs="Times New Roman"/>
          <w:bCs/>
          <w:color w:val="000000"/>
          <w:szCs w:val="28"/>
          <w:lang w:eastAsia="ru-RU"/>
        </w:rPr>
      </w:pPr>
    </w:p>
    <w:p w:rsidR="004E5487" w:rsidRPr="00D668B5" w:rsidRDefault="004E5487" w:rsidP="004E5487">
      <w:pPr>
        <w:spacing w:after="0"/>
        <w:ind w:firstLine="567"/>
        <w:rPr>
          <w:rFonts w:eastAsia="Times New Roman" w:cs="Times New Roman"/>
          <w:b/>
          <w:bCs/>
          <w:szCs w:val="28"/>
          <w:lang w:eastAsia="ru-RU"/>
        </w:rPr>
      </w:pPr>
    </w:p>
    <w:p w:rsidR="004E5487" w:rsidRPr="00D668B5" w:rsidRDefault="004E5487" w:rsidP="004E5487">
      <w:pPr>
        <w:spacing w:after="0"/>
        <w:rPr>
          <w:rFonts w:eastAsia="Times New Roman" w:cs="Times New Roman"/>
          <w:b/>
          <w:bCs/>
          <w:szCs w:val="28"/>
          <w:lang w:eastAsia="ru-RU"/>
        </w:rPr>
      </w:pPr>
      <w:r w:rsidRPr="00D668B5">
        <w:rPr>
          <w:rFonts w:eastAsia="Times New Roman" w:cs="Times New Roman"/>
          <w:b/>
          <w:bCs/>
          <w:szCs w:val="28"/>
          <w:lang w:eastAsia="ru-RU"/>
        </w:rPr>
        <w:t>Заступник Керівника</w:t>
      </w:r>
    </w:p>
    <w:p w:rsidR="004E5487" w:rsidRPr="00D668B5" w:rsidRDefault="004E5487" w:rsidP="004E5487">
      <w:pPr>
        <w:spacing w:after="0"/>
        <w:rPr>
          <w:rFonts w:eastAsia="Times New Roman" w:cs="Times New Roman"/>
          <w:szCs w:val="28"/>
          <w:lang w:eastAsia="ru-RU"/>
        </w:rPr>
      </w:pPr>
      <w:r w:rsidRPr="00D668B5">
        <w:rPr>
          <w:rFonts w:eastAsia="Times New Roman" w:cs="Times New Roman"/>
          <w:b/>
          <w:bCs/>
          <w:szCs w:val="28"/>
          <w:lang w:eastAsia="ru-RU"/>
        </w:rPr>
        <w:t xml:space="preserve">Головного управління </w:t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</w:r>
      <w:r w:rsidRPr="00D668B5">
        <w:rPr>
          <w:rFonts w:eastAsia="Times New Roman" w:cs="Times New Roman"/>
          <w:b/>
          <w:bCs/>
          <w:szCs w:val="28"/>
          <w:lang w:eastAsia="ru-RU"/>
        </w:rPr>
        <w:tab/>
        <w:t xml:space="preserve">                В.МІЛОВАНОВ</w:t>
      </w:r>
    </w:p>
    <w:p w:rsidR="004E5487" w:rsidRPr="00954A8C" w:rsidRDefault="004E5487" w:rsidP="004E5487">
      <w:pPr>
        <w:spacing w:after="0"/>
        <w:ind w:firstLine="708"/>
        <w:rPr>
          <w:rFonts w:eastAsia="Times New Roman" w:cs="Times New Roman"/>
          <w:b/>
          <w:iCs/>
          <w:szCs w:val="24"/>
          <w:lang w:eastAsia="ru-RU"/>
        </w:rPr>
      </w:pPr>
    </w:p>
    <w:p w:rsidR="00B60FCA" w:rsidRDefault="00B60FCA"/>
    <w:sectPr w:rsidR="00B60FCA" w:rsidSect="00783692">
      <w:footerReference w:type="default" r:id="rId6"/>
      <w:pgSz w:w="11906" w:h="16838"/>
      <w:pgMar w:top="850" w:right="850" w:bottom="850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E3EBB">
      <w:pPr>
        <w:spacing w:after="0"/>
      </w:pPr>
      <w:r>
        <w:separator/>
      </w:r>
    </w:p>
  </w:endnote>
  <w:endnote w:type="continuationSeparator" w:id="0">
    <w:p w:rsidR="00000000" w:rsidRDefault="007E3E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9627146"/>
      <w:docPartObj>
        <w:docPartGallery w:val="Page Numbers (Bottom of Page)"/>
        <w:docPartUnique/>
      </w:docPartObj>
    </w:sdtPr>
    <w:sdtEndPr/>
    <w:sdtContent>
      <w:p w:rsidR="00234B7F" w:rsidRDefault="00841D7B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EBB">
          <w:rPr>
            <w:noProof/>
          </w:rPr>
          <w:t>5</w:t>
        </w:r>
        <w:r>
          <w:fldChar w:fldCharType="end"/>
        </w:r>
      </w:p>
    </w:sdtContent>
  </w:sdt>
  <w:p w:rsidR="00783692" w:rsidRDefault="007E3EB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E3EBB">
      <w:pPr>
        <w:spacing w:after="0"/>
      </w:pPr>
      <w:r>
        <w:separator/>
      </w:r>
    </w:p>
  </w:footnote>
  <w:footnote w:type="continuationSeparator" w:id="0">
    <w:p w:rsidR="00000000" w:rsidRDefault="007E3EB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487"/>
    <w:rsid w:val="001A2BEE"/>
    <w:rsid w:val="001E30D9"/>
    <w:rsid w:val="002B06AE"/>
    <w:rsid w:val="002D3B99"/>
    <w:rsid w:val="00374A16"/>
    <w:rsid w:val="00414846"/>
    <w:rsid w:val="004E0E82"/>
    <w:rsid w:val="004E5487"/>
    <w:rsid w:val="00646557"/>
    <w:rsid w:val="006F7E99"/>
    <w:rsid w:val="007E3EBB"/>
    <w:rsid w:val="008337A1"/>
    <w:rsid w:val="00841D7B"/>
    <w:rsid w:val="008F3243"/>
    <w:rsid w:val="009269D3"/>
    <w:rsid w:val="00926EED"/>
    <w:rsid w:val="00B60FCA"/>
    <w:rsid w:val="00BD5F04"/>
    <w:rsid w:val="00C968EC"/>
    <w:rsid w:val="00CD6328"/>
    <w:rsid w:val="00EE0FCD"/>
    <w:rsid w:val="00F4748B"/>
    <w:rsid w:val="00FC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1D15"/>
  <w15:chartTrackingRefBased/>
  <w15:docId w15:val="{6027534E-B262-4EF7-9586-5967B6DE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4E5487"/>
    <w:rPr>
      <w:rFonts w:ascii="Times New Roman" w:hAnsi="Times New Roman" w:cs="Times New Roman"/>
      <w:color w:val="000000"/>
    </w:rPr>
  </w:style>
  <w:style w:type="paragraph" w:styleId="a3">
    <w:name w:val="No Spacing"/>
    <w:uiPriority w:val="1"/>
    <w:qFormat/>
    <w:rsid w:val="004E5487"/>
    <w:pPr>
      <w:spacing w:after="0"/>
    </w:pPr>
  </w:style>
  <w:style w:type="paragraph" w:styleId="a4">
    <w:name w:val="footer"/>
    <w:basedOn w:val="a"/>
    <w:link w:val="a5"/>
    <w:uiPriority w:val="99"/>
    <w:unhideWhenUsed/>
    <w:rsid w:val="004E5487"/>
    <w:pPr>
      <w:tabs>
        <w:tab w:val="center" w:pos="4819"/>
        <w:tab w:val="right" w:pos="9639"/>
      </w:tabs>
      <w:spacing w:after="0"/>
    </w:pPr>
  </w:style>
  <w:style w:type="character" w:customStyle="1" w:styleId="a5">
    <w:name w:val="Нижній колонтитул Знак"/>
    <w:basedOn w:val="a0"/>
    <w:link w:val="a4"/>
    <w:uiPriority w:val="99"/>
    <w:rsid w:val="004E5487"/>
  </w:style>
  <w:style w:type="character" w:customStyle="1" w:styleId="st24">
    <w:name w:val="st24"/>
    <w:uiPriority w:val="99"/>
    <w:rsid w:val="004E5487"/>
    <w:rPr>
      <w:rFonts w:ascii="Times New Roman" w:hAnsi="Times New Roman" w:cs="Times New Roman"/>
      <w:b/>
      <w:bCs/>
      <w:color w:val="000000"/>
      <w:sz w:val="32"/>
      <w:szCs w:val="32"/>
    </w:rPr>
  </w:style>
  <w:style w:type="paragraph" w:styleId="a6">
    <w:name w:val="List Paragraph"/>
    <w:basedOn w:val="a"/>
    <w:uiPriority w:val="34"/>
    <w:qFormat/>
    <w:rsid w:val="00646557"/>
    <w:pPr>
      <w:ind w:left="720"/>
      <w:contextualSpacing/>
    </w:pPr>
  </w:style>
  <w:style w:type="character" w:customStyle="1" w:styleId="xfm93411270">
    <w:name w:val="xfm_93411270"/>
    <w:basedOn w:val="a0"/>
    <w:rsid w:val="002B06AE"/>
  </w:style>
  <w:style w:type="character" w:customStyle="1" w:styleId="st96">
    <w:name w:val="st96"/>
    <w:uiPriority w:val="99"/>
    <w:rsid w:val="00C968EC"/>
    <w:rPr>
      <w:rFonts w:ascii="Times New Roman" w:hAnsi="Times New Roman" w:cs="Times New Roman"/>
      <w:color w:val="0000FF"/>
    </w:rPr>
  </w:style>
  <w:style w:type="character" w:customStyle="1" w:styleId="rvts23">
    <w:name w:val="rvts23"/>
    <w:basedOn w:val="a0"/>
    <w:rsid w:val="00BD5F04"/>
  </w:style>
  <w:style w:type="character" w:customStyle="1" w:styleId="rvts0">
    <w:name w:val="rvts0"/>
    <w:basedOn w:val="a0"/>
    <w:rsid w:val="00BD5F04"/>
  </w:style>
  <w:style w:type="paragraph" w:customStyle="1" w:styleId="StyleZakonu">
    <w:name w:val="StyleZakonu"/>
    <w:basedOn w:val="a"/>
    <w:rsid w:val="00EE0FCD"/>
    <w:pPr>
      <w:spacing w:after="60" w:line="220" w:lineRule="exact"/>
      <w:ind w:firstLine="284"/>
    </w:pPr>
    <w:rPr>
      <w:rFonts w:eastAsia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3E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E3E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8161</Words>
  <Characters>4653</Characters>
  <Application>Microsoft Office Word</Application>
  <DocSecurity>4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Зайцева Тетяна Олександрівна</cp:lastModifiedBy>
  <cp:revision>2</cp:revision>
  <cp:lastPrinted>2019-10-01T12:53:00Z</cp:lastPrinted>
  <dcterms:created xsi:type="dcterms:W3CDTF">2019-10-01T12:53:00Z</dcterms:created>
  <dcterms:modified xsi:type="dcterms:W3CDTF">2019-10-01T12:53:00Z</dcterms:modified>
</cp:coreProperties>
</file>