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35A" w:rsidRDefault="00CF535A" w:rsidP="00CF535A">
      <w:pPr>
        <w:autoSpaceDE w:val="0"/>
        <w:autoSpaceDN w:val="0"/>
        <w:spacing w:after="0"/>
        <w:rPr>
          <w:rFonts w:ascii="Times New Roman" w:hAnsi="Times New Roman"/>
          <w:b/>
          <w:sz w:val="28"/>
          <w:szCs w:val="28"/>
          <w:lang w:eastAsia="ru-RU"/>
        </w:rPr>
      </w:pPr>
    </w:p>
    <w:p w:rsidR="00CF535A" w:rsidRPr="008B0D72" w:rsidRDefault="00CF535A" w:rsidP="00CF535A">
      <w:pPr>
        <w:autoSpaceDE w:val="0"/>
        <w:autoSpaceDN w:val="0"/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8B0D72">
        <w:rPr>
          <w:rFonts w:ascii="Times New Roman" w:hAnsi="Times New Roman"/>
          <w:b/>
          <w:sz w:val="28"/>
          <w:szCs w:val="28"/>
          <w:lang w:eastAsia="ru-RU"/>
        </w:rPr>
        <w:t>Висновок</w:t>
      </w:r>
    </w:p>
    <w:p w:rsidR="00CF535A" w:rsidRPr="008B0D72" w:rsidRDefault="00CF535A" w:rsidP="00CF535A">
      <w:pPr>
        <w:autoSpaceDE w:val="0"/>
        <w:autoSpaceDN w:val="0"/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8B0D72">
        <w:rPr>
          <w:rFonts w:ascii="Times New Roman" w:hAnsi="Times New Roman"/>
          <w:b/>
          <w:sz w:val="28"/>
          <w:szCs w:val="28"/>
          <w:lang w:eastAsia="ru-RU"/>
        </w:rPr>
        <w:t xml:space="preserve">на предмет відповідності праву ЄС проекту </w:t>
      </w:r>
      <w:r w:rsidRPr="008B0D72">
        <w:rPr>
          <w:rFonts w:ascii="Times New Roman" w:hAnsi="Times New Roman"/>
          <w:b/>
          <w:sz w:val="28"/>
          <w:szCs w:val="28"/>
        </w:rPr>
        <w:t>Закону України «</w:t>
      </w:r>
      <w:r w:rsidRPr="008B0D72">
        <w:rPr>
          <w:rFonts w:ascii="Times New Roman" w:hAnsi="Times New Roman"/>
          <w:b/>
          <w:bCs/>
          <w:sz w:val="28"/>
          <w:szCs w:val="28"/>
          <w:lang w:eastAsia="uk-UA"/>
        </w:rPr>
        <w:t>Про внесення змін до деяких законів України у сфері використання ядерної енергії</w:t>
      </w:r>
      <w:r w:rsidRPr="008B0D72">
        <w:rPr>
          <w:rFonts w:ascii="Times New Roman" w:hAnsi="Times New Roman"/>
          <w:b/>
          <w:sz w:val="28"/>
          <w:szCs w:val="28"/>
        </w:rPr>
        <w:t>»</w:t>
      </w:r>
    </w:p>
    <w:p w:rsidR="00CF535A" w:rsidRPr="008B0D72" w:rsidRDefault="00CF535A" w:rsidP="00CF535A">
      <w:pPr>
        <w:spacing w:after="0"/>
        <w:rPr>
          <w:rFonts w:ascii="Times New Roman" w:hAnsi="Times New Roman"/>
          <w:b/>
          <w:sz w:val="28"/>
          <w:szCs w:val="28"/>
        </w:rPr>
      </w:pPr>
      <w:r w:rsidRPr="008B0D72">
        <w:rPr>
          <w:rFonts w:ascii="Times New Roman" w:hAnsi="Times New Roman"/>
          <w:b/>
          <w:sz w:val="28"/>
          <w:szCs w:val="28"/>
        </w:rPr>
        <w:t xml:space="preserve">(реєстр. № </w:t>
      </w:r>
      <w:r>
        <w:rPr>
          <w:rFonts w:ascii="Times New Roman" w:hAnsi="Times New Roman"/>
          <w:b/>
          <w:sz w:val="28"/>
          <w:szCs w:val="28"/>
        </w:rPr>
        <w:t>1084</w:t>
      </w:r>
      <w:r w:rsidRPr="008B0D72">
        <w:rPr>
          <w:rFonts w:ascii="Times New Roman" w:hAnsi="Times New Roman"/>
          <w:b/>
          <w:sz w:val="28"/>
          <w:szCs w:val="28"/>
        </w:rPr>
        <w:t xml:space="preserve"> від </w:t>
      </w:r>
      <w:r>
        <w:rPr>
          <w:rFonts w:ascii="Times New Roman" w:hAnsi="Times New Roman"/>
          <w:b/>
          <w:sz w:val="28"/>
          <w:szCs w:val="28"/>
        </w:rPr>
        <w:t>29</w:t>
      </w:r>
      <w:r w:rsidRPr="008B0D72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08</w:t>
      </w:r>
      <w:r w:rsidRPr="008B0D72">
        <w:rPr>
          <w:rFonts w:ascii="Times New Roman" w:hAnsi="Times New Roman"/>
          <w:b/>
          <w:sz w:val="28"/>
          <w:szCs w:val="28"/>
        </w:rPr>
        <w:t>.201</w:t>
      </w:r>
      <w:r>
        <w:rPr>
          <w:rFonts w:ascii="Times New Roman" w:hAnsi="Times New Roman"/>
          <w:b/>
          <w:sz w:val="28"/>
          <w:szCs w:val="28"/>
        </w:rPr>
        <w:t>9</w:t>
      </w:r>
      <w:r w:rsidRPr="008B0D72">
        <w:rPr>
          <w:rFonts w:ascii="Times New Roman" w:hAnsi="Times New Roman"/>
          <w:b/>
          <w:sz w:val="28"/>
          <w:szCs w:val="28"/>
        </w:rPr>
        <w:t xml:space="preserve"> року)</w:t>
      </w:r>
    </w:p>
    <w:p w:rsidR="00CF535A" w:rsidRPr="008B0D72" w:rsidRDefault="00CF535A" w:rsidP="00CF535A">
      <w:pPr>
        <w:shd w:val="clear" w:color="auto" w:fill="FFFFFF"/>
        <w:autoSpaceDE w:val="0"/>
        <w:autoSpaceDN w:val="0"/>
        <w:spacing w:after="0"/>
        <w:jc w:val="both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</w:p>
    <w:p w:rsidR="00CF535A" w:rsidRPr="008B0D72" w:rsidRDefault="00CF535A" w:rsidP="00CF535A">
      <w:pPr>
        <w:numPr>
          <w:ilvl w:val="0"/>
          <w:numId w:val="1"/>
        </w:numPr>
        <w:shd w:val="clear" w:color="auto" w:fill="D9D9D9"/>
        <w:autoSpaceDE w:val="0"/>
        <w:autoSpaceDN w:val="0"/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  <w:r w:rsidRPr="008B0D72">
        <w:rPr>
          <w:rFonts w:ascii="Times New Roman" w:hAnsi="Times New Roman"/>
          <w:b/>
          <w:sz w:val="28"/>
          <w:szCs w:val="28"/>
        </w:rPr>
        <w:t>Загальна характеристика законопроекту:</w:t>
      </w:r>
    </w:p>
    <w:p w:rsidR="00CF535A" w:rsidRPr="008B0D72" w:rsidRDefault="00CF535A" w:rsidP="00CF535A">
      <w:pPr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CF535A" w:rsidRPr="008B0D72" w:rsidRDefault="00CF535A" w:rsidP="00CF535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Законопроект спрямований на гармонізацію законодавства України з європейськими вимогами та стандартами, що діють </w:t>
      </w:r>
      <w:r>
        <w:rPr>
          <w:rFonts w:ascii="Times New Roman" w:hAnsi="Times New Roman"/>
          <w:sz w:val="28"/>
          <w:szCs w:val="28"/>
        </w:rPr>
        <w:t>у</w:t>
      </w:r>
      <w:r w:rsidRPr="008B0D72">
        <w:rPr>
          <w:rFonts w:ascii="Times New Roman" w:hAnsi="Times New Roman"/>
          <w:sz w:val="28"/>
          <w:szCs w:val="28"/>
        </w:rPr>
        <w:t xml:space="preserve"> сфері використання ядерної енергії, встановлення єдиних основних норм безпеки для захисту здоров’я осіб, які перебувають під професійним, медичним опроміненням, та населення проти небезпек, що виникають при іонізуючому випромінюванні. Крім того</w:t>
      </w:r>
      <w:r>
        <w:rPr>
          <w:rFonts w:ascii="Times New Roman" w:hAnsi="Times New Roman"/>
          <w:sz w:val="28"/>
          <w:szCs w:val="28"/>
        </w:rPr>
        <w:t>,</w:t>
      </w:r>
      <w:r w:rsidRPr="008B0D72">
        <w:rPr>
          <w:rFonts w:ascii="Times New Roman" w:hAnsi="Times New Roman"/>
          <w:sz w:val="28"/>
          <w:szCs w:val="28"/>
        </w:rPr>
        <w:t xml:space="preserve"> метою проекту є врахування вимог щодо державного регулювання питань, що стосуються поводження з урановими рудами.</w:t>
      </w:r>
    </w:p>
    <w:p w:rsidR="00CF535A" w:rsidRPr="008B0D72" w:rsidRDefault="00CF535A" w:rsidP="00CF535A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Метою законопроекту, як зазначається у Пояснювальній записці до нього, є «врегулювання виявлених в законодавстві розбіжностей та невідповідності з положеннями Директиви </w:t>
      </w:r>
      <w:r w:rsidRPr="008B0D72">
        <w:rPr>
          <w:rFonts w:ascii="Times New Roman" w:hAnsi="Times New Roman"/>
          <w:bCs/>
          <w:sz w:val="28"/>
          <w:szCs w:val="28"/>
        </w:rPr>
        <w:t>Ради 2013/59/Євратом, яка встановлює основні стандарти безпеки для захисту від небезпеки, що виникає від іонізуючого випромінювання та припиняє дію Директив 89/816/Євратом, 90/641/Євратом, 96/29/Євратом, 97/43Євратом та 2003/122Євратом</w:t>
      </w:r>
      <w:r w:rsidRPr="008B0D72">
        <w:rPr>
          <w:rFonts w:ascii="Times New Roman" w:hAnsi="Times New Roman"/>
          <w:sz w:val="28"/>
          <w:szCs w:val="28"/>
        </w:rPr>
        <w:t>».</w:t>
      </w:r>
    </w:p>
    <w:p w:rsidR="00CF535A" w:rsidRPr="008B0D72" w:rsidRDefault="00CF535A" w:rsidP="00CF535A">
      <w:pPr>
        <w:autoSpaceDE w:val="0"/>
        <w:autoSpaceDN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>Угода про асоціацію між Україною та ЄС передбачає зобов’язання продовжувати та активізувати існуюче співробітництво у сфері енергетики з метою підвищення енергетичної безпеки, конкурентоспроможності та стабільності, що є необхідним для просування економічного зростання та досягнення прогресу у напрямку ринкової інтеграції, в тому числі</w:t>
      </w:r>
      <w:r w:rsidR="00FE63F2">
        <w:rPr>
          <w:rFonts w:ascii="Times New Roman" w:hAnsi="Times New Roman"/>
          <w:sz w:val="28"/>
          <w:szCs w:val="28"/>
        </w:rPr>
        <w:t>,</w:t>
      </w:r>
      <w:r w:rsidRPr="008B0D72">
        <w:rPr>
          <w:rFonts w:ascii="Times New Roman" w:hAnsi="Times New Roman"/>
          <w:sz w:val="28"/>
          <w:szCs w:val="28"/>
        </w:rPr>
        <w:t xml:space="preserve"> шляхом поступового зближення в енергетичному секторі та через участь у регіональних ініціативах щодо співробітництва у сфері енергетики. </w:t>
      </w:r>
    </w:p>
    <w:p w:rsidR="00CF535A" w:rsidRPr="008B0D72" w:rsidRDefault="00CF535A" w:rsidP="00CF535A">
      <w:pPr>
        <w:autoSpaceDE w:val="0"/>
        <w:autoSpaceDN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9F7648">
        <w:rPr>
          <w:rFonts w:ascii="Times New Roman" w:hAnsi="Times New Roman"/>
          <w:sz w:val="28"/>
          <w:szCs w:val="28"/>
        </w:rPr>
        <w:t>З метою забезпечення наближення національного законодавства до права ЄС, Планом заходів з виконання Угоди про асоціацію, затвердженим постановою Кабінету Міністрів України від 25 жовтня 2017 р. № 1106 (далі – План заходів), а саме пунктами 737-738, 740-741, 751, 754-755, передбачені завдання щодо імплементації положень Директиви Ради 2013/59/Євратом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F7648">
        <w:rPr>
          <w:rFonts w:ascii="Times New Roman" w:hAnsi="Times New Roman"/>
          <w:sz w:val="28"/>
          <w:szCs w:val="28"/>
        </w:rPr>
        <w:t>якою, серед іншого, скасовано Директиву Ради 96/29/Євратом.</w:t>
      </w:r>
    </w:p>
    <w:p w:rsidR="00CF535A" w:rsidRPr="008B0D72" w:rsidRDefault="00CF535A" w:rsidP="00CF535A">
      <w:pPr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CF535A" w:rsidRPr="008B0D72" w:rsidRDefault="00CF535A" w:rsidP="00CF535A">
      <w:pPr>
        <w:numPr>
          <w:ilvl w:val="0"/>
          <w:numId w:val="1"/>
        </w:numPr>
        <w:shd w:val="clear" w:color="auto" w:fill="D9D9D9"/>
        <w:autoSpaceDE w:val="0"/>
        <w:autoSpaceDN w:val="0"/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  <w:r w:rsidRPr="008B0D72">
        <w:rPr>
          <w:rFonts w:ascii="Times New Roman" w:hAnsi="Times New Roman"/>
          <w:b/>
          <w:sz w:val="28"/>
          <w:szCs w:val="28"/>
        </w:rPr>
        <w:t>Політико-правове обґрунтування законопроекту:</w:t>
      </w:r>
    </w:p>
    <w:p w:rsidR="00CF535A" w:rsidRPr="008B0D72" w:rsidRDefault="00CF535A" w:rsidP="00CF535A">
      <w:pPr>
        <w:shd w:val="clear" w:color="auto" w:fill="FFFFFF"/>
        <w:autoSpaceDE w:val="0"/>
        <w:autoSpaceDN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CF535A" w:rsidRPr="008B0D72" w:rsidRDefault="00CF535A" w:rsidP="00CF535A">
      <w:pPr>
        <w:shd w:val="clear" w:color="auto" w:fill="FFFFFF"/>
        <w:autoSpaceDE w:val="0"/>
        <w:autoSpaceDN w:val="0"/>
        <w:spacing w:after="0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  <w:u w:val="single"/>
        </w:rPr>
        <w:t>Законопроект не суперечить положенням Угоди про асоціацію</w:t>
      </w:r>
      <w:r w:rsidRPr="008B0D72">
        <w:rPr>
          <w:rFonts w:ascii="Times New Roman" w:hAnsi="Times New Roman"/>
          <w:sz w:val="28"/>
          <w:szCs w:val="28"/>
        </w:rPr>
        <w:t xml:space="preserve">. </w:t>
      </w:r>
    </w:p>
    <w:p w:rsidR="00CF535A" w:rsidRPr="008B0D72" w:rsidRDefault="00CF535A" w:rsidP="00CF535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F535A" w:rsidRPr="008B0D72" w:rsidRDefault="00CF535A" w:rsidP="00CF535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До нормативно-правових актів ЄС, що частково регулюють сферу ядерної енергетики належать: </w:t>
      </w:r>
    </w:p>
    <w:p w:rsidR="00CF535A" w:rsidRPr="008B0D72" w:rsidRDefault="00344DF0" w:rsidP="00CF535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Pr="00344DF0">
        <w:rPr>
          <w:rFonts w:ascii="Times New Roman" w:hAnsi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="00CF535A" w:rsidRPr="008B0D72">
        <w:rPr>
          <w:rFonts w:ascii="Times New Roman" w:hAnsi="Times New Roman"/>
          <w:sz w:val="28"/>
          <w:szCs w:val="28"/>
        </w:rPr>
        <w:t xml:space="preserve">Директива Ради ЄС №2014/87/Євратом, яка встановлює для Співтовариства основи з ядерної безпеки ядерних установок (замінює Директиву 2009/71/Євратом). </w:t>
      </w:r>
    </w:p>
    <w:p w:rsidR="00CF535A" w:rsidRPr="008B0D72" w:rsidRDefault="00CF535A" w:rsidP="00CF535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• Директива Ради ЄС №2013/59/Євратом, що встановлює основні стандарти безпеки для захисту від небезпеки, що виникає від іонізуючого випромінювання </w:t>
      </w:r>
      <w:r w:rsidRPr="008B0D72">
        <w:rPr>
          <w:rFonts w:ascii="Times New Roman" w:hAnsi="Times New Roman"/>
          <w:sz w:val="28"/>
          <w:szCs w:val="28"/>
        </w:rPr>
        <w:lastRenderedPageBreak/>
        <w:t xml:space="preserve">(припиняє дію наступних Директив Євратом - 89/618, 90/641, 96/29, 97/43, 2003/122). </w:t>
      </w:r>
    </w:p>
    <w:p w:rsidR="00CF535A" w:rsidRPr="008B0D72" w:rsidRDefault="00CF535A" w:rsidP="00CF535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>• Директива Ради ЄС №2006/117/Євратом про нагляд та контроль за перевезенням радіоактивних відходів та відпрацьованого ядерного палива.</w:t>
      </w:r>
    </w:p>
    <w:p w:rsidR="00CF535A" w:rsidRPr="008B0D72" w:rsidRDefault="00CF535A" w:rsidP="00CF535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>Предметом аналізу є положення Директиви Ради ЄС №2013/59/Євратом, що встановлю</w:t>
      </w:r>
      <w:r w:rsidR="00FE63F2">
        <w:rPr>
          <w:rFonts w:ascii="Times New Roman" w:hAnsi="Times New Roman"/>
          <w:sz w:val="28"/>
          <w:szCs w:val="28"/>
        </w:rPr>
        <w:t>ють</w:t>
      </w:r>
      <w:r w:rsidRPr="008B0D72">
        <w:rPr>
          <w:rFonts w:ascii="Times New Roman" w:hAnsi="Times New Roman"/>
          <w:sz w:val="28"/>
          <w:szCs w:val="28"/>
        </w:rPr>
        <w:t xml:space="preserve"> основні стандарти безпеки для захисту від небезпеки, що виникає від іонізуючого випромінювання.</w:t>
      </w:r>
    </w:p>
    <w:p w:rsidR="00CF535A" w:rsidRPr="008B0D72" w:rsidRDefault="00CF535A" w:rsidP="00CF535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Варто зауважити, що зазначена Директива є комплексним документом, який враховує наукові розробки технологічного розвитку, а також накопичений досвід </w:t>
      </w:r>
      <w:r>
        <w:rPr>
          <w:rFonts w:ascii="Times New Roman" w:hAnsi="Times New Roman"/>
          <w:sz w:val="28"/>
          <w:szCs w:val="28"/>
        </w:rPr>
        <w:t>у</w:t>
      </w:r>
      <w:r w:rsidRPr="008B0D72">
        <w:rPr>
          <w:rFonts w:ascii="Times New Roman" w:hAnsi="Times New Roman"/>
          <w:sz w:val="28"/>
          <w:szCs w:val="28"/>
        </w:rPr>
        <w:t xml:space="preserve"> забезпеченні радіаційної безпеки; регулює всі джерела випромінювання, що піддаються регулюючому контролю, в тому числі – природні джерела (NORM); розширює сфери регулювання та деталізації вимог до захисту в усіх ситуаціях опромінення (планові, існуючі та надзвичайні); інтеграцію підходів до захисту працівників, населення, пацієнтів і навколишнього середовища.</w:t>
      </w:r>
    </w:p>
    <w:p w:rsidR="00CF535A" w:rsidRPr="008B0D72" w:rsidRDefault="00CF535A" w:rsidP="00CF535A">
      <w:pPr>
        <w:spacing w:after="0"/>
        <w:jc w:val="both"/>
        <w:rPr>
          <w:rStyle w:val="a4"/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         Законопроектом пропонується внесення змін до деяких законів </w:t>
      </w:r>
      <w:r w:rsidRPr="008B0D72">
        <w:rPr>
          <w:rFonts w:ascii="Times New Roman" w:hAnsi="Times New Roman"/>
          <w:color w:val="000000"/>
          <w:spacing w:val="-2"/>
          <w:sz w:val="28"/>
          <w:szCs w:val="28"/>
          <w:lang w:eastAsia="uk-UA"/>
        </w:rPr>
        <w:t>«Про використання ядерної енергії та радіаційну безпеку», «</w:t>
      </w:r>
      <w:r w:rsidRPr="008B0D72">
        <w:rPr>
          <w:rFonts w:ascii="Times New Roman" w:hAnsi="Times New Roman"/>
          <w:color w:val="000000"/>
          <w:spacing w:val="-12"/>
          <w:sz w:val="28"/>
          <w:szCs w:val="28"/>
          <w:lang w:eastAsia="ru-RU"/>
        </w:rPr>
        <w:t>Про видобування і переробку уранових руд», «</w:t>
      </w:r>
      <w:r w:rsidRPr="008B0D72">
        <w:rPr>
          <w:rFonts w:ascii="Times New Roman" w:hAnsi="Times New Roman"/>
          <w:bCs/>
          <w:sz w:val="28"/>
          <w:szCs w:val="28"/>
        </w:rPr>
        <w:t xml:space="preserve">Про захист людини від впливу іонізуючого випромінювання», </w:t>
      </w:r>
      <w:r w:rsidRPr="008B0D72">
        <w:rPr>
          <w:rFonts w:ascii="Times New Roman" w:hAnsi="Times New Roman"/>
          <w:sz w:val="28"/>
          <w:szCs w:val="28"/>
          <w:lang w:eastAsia="uk-UA"/>
        </w:rPr>
        <w:t xml:space="preserve">«Про дозвільну діяльність у сфері використання ядерної енергії». Окрім деталізації щодо основних дозованих обмежень опромінення персоналу та повноважень центрального органу щодо </w:t>
      </w:r>
      <w:r w:rsidRPr="008B0D72">
        <w:rPr>
          <w:rFonts w:ascii="Times New Roman" w:hAnsi="Times New Roman"/>
          <w:sz w:val="28"/>
          <w:szCs w:val="28"/>
        </w:rPr>
        <w:t>розроблення і затвердження плану заходів щодо зниження рівня опромінення населення радоном та продуктами його розпаду</w:t>
      </w:r>
      <w:r w:rsidRPr="008B0D72">
        <w:rPr>
          <w:rFonts w:ascii="Times New Roman" w:hAnsi="Times New Roman"/>
          <w:sz w:val="28"/>
          <w:szCs w:val="28"/>
          <w:lang w:eastAsia="uk-UA"/>
        </w:rPr>
        <w:t>, велика увага приділяється впровадженню у правове поле нових термінів.</w:t>
      </w:r>
    </w:p>
    <w:p w:rsidR="00CF535A" w:rsidRPr="008B0D72" w:rsidRDefault="00CF535A" w:rsidP="00CF535A">
      <w:pPr>
        <w:pStyle w:val="a5"/>
        <w:spacing w:before="0"/>
        <w:ind w:firstLine="709"/>
        <w:rPr>
          <w:rFonts w:ascii="Times New Roman" w:eastAsia="MS Mincho" w:hAnsi="Times New Roman"/>
          <w:sz w:val="28"/>
          <w:szCs w:val="28"/>
        </w:rPr>
      </w:pPr>
      <w:r w:rsidRPr="008B0D72">
        <w:rPr>
          <w:rFonts w:ascii="Times New Roman" w:eastAsia="MS Mincho" w:hAnsi="Times New Roman"/>
          <w:sz w:val="28"/>
          <w:szCs w:val="28"/>
        </w:rPr>
        <w:t>Однак, варто зазначити, що вказана Директива містить набагато більшу кількість термінів, що відповідають поставленій законопроектом меті, і деякі з них не в повному обсязі відображені в проекті Закону.</w:t>
      </w:r>
    </w:p>
    <w:p w:rsidR="00CF535A" w:rsidRPr="008B0D72" w:rsidRDefault="00CF535A" w:rsidP="00CF535A">
      <w:pPr>
        <w:spacing w:after="0"/>
        <w:ind w:firstLine="709"/>
        <w:jc w:val="both"/>
        <w:rPr>
          <w:rFonts w:ascii="Times New Roman" w:eastAsia="MS Mincho" w:hAnsi="Times New Roman"/>
          <w:bCs/>
          <w:sz w:val="28"/>
          <w:szCs w:val="28"/>
          <w:lang w:eastAsia="ja-JP"/>
        </w:rPr>
      </w:pPr>
      <w:r w:rsidRPr="008B0D72">
        <w:rPr>
          <w:rFonts w:ascii="Times New Roman" w:eastAsia="MS Mincho" w:hAnsi="Times New Roman"/>
          <w:bCs/>
          <w:sz w:val="28"/>
          <w:szCs w:val="28"/>
          <w:lang w:eastAsia="ja-JP"/>
        </w:rPr>
        <w:t xml:space="preserve">Важливим вбачається доповнення іншими термінами для сприяння реалізації більш комплексного та системного підходу імплементації вказаної Директиви.  </w:t>
      </w:r>
      <w:r w:rsidRPr="008B0D72">
        <w:rPr>
          <w:rFonts w:ascii="Times New Roman" w:hAnsi="Times New Roman"/>
          <w:sz w:val="28"/>
          <w:szCs w:val="28"/>
        </w:rPr>
        <w:t xml:space="preserve">У визначенні змісту терміну «опромінення професійне» варто конкретизувати  об‘єкти, на яких відбувається практична діяльність, під час роботи відповідних осіб з джерелами іонізуючого випромінення, а </w:t>
      </w:r>
      <w:r w:rsidRPr="008B0D72">
        <w:rPr>
          <w:rFonts w:ascii="Times New Roman" w:hAnsi="Times New Roman"/>
          <w:bCs/>
          <w:sz w:val="28"/>
          <w:szCs w:val="28"/>
        </w:rPr>
        <w:t>у визначенні змісту терміну «практична діяльність» розкрити</w:t>
      </w:r>
      <w:r w:rsidRPr="008B0D72">
        <w:rPr>
          <w:rFonts w:ascii="Times New Roman" w:hAnsi="Times New Roman"/>
          <w:sz w:val="28"/>
          <w:szCs w:val="28"/>
        </w:rPr>
        <w:t xml:space="preserve">, що саме вважається </w:t>
      </w:r>
      <w:r w:rsidRPr="008B0D72">
        <w:rPr>
          <w:rFonts w:ascii="Times New Roman" w:hAnsi="Times New Roman"/>
          <w:bCs/>
          <w:sz w:val="28"/>
          <w:szCs w:val="28"/>
        </w:rPr>
        <w:t>ситуацією планового опромінення</w:t>
      </w:r>
      <w:r w:rsidRPr="008B0D72">
        <w:rPr>
          <w:rFonts w:ascii="Times New Roman" w:eastAsia="MS Mincho" w:hAnsi="Times New Roman"/>
          <w:bCs/>
          <w:sz w:val="28"/>
          <w:szCs w:val="28"/>
          <w:lang w:eastAsia="ja-JP"/>
        </w:rPr>
        <w:t>.</w:t>
      </w:r>
    </w:p>
    <w:p w:rsidR="00CF535A" w:rsidRPr="008B0D72" w:rsidRDefault="00CF535A" w:rsidP="00CF535A">
      <w:pPr>
        <w:spacing w:after="0"/>
        <w:ind w:firstLine="709"/>
        <w:jc w:val="both"/>
        <w:rPr>
          <w:rFonts w:ascii="Times New Roman" w:eastAsia="MS Mincho" w:hAnsi="Times New Roman"/>
          <w:bCs/>
          <w:sz w:val="28"/>
          <w:szCs w:val="28"/>
          <w:lang w:eastAsia="ja-JP"/>
        </w:rPr>
      </w:pPr>
      <w:r w:rsidRPr="008B0D72">
        <w:rPr>
          <w:rFonts w:ascii="Times New Roman" w:eastAsia="MS Mincho" w:hAnsi="Times New Roman"/>
          <w:bCs/>
          <w:sz w:val="28"/>
          <w:szCs w:val="28"/>
          <w:lang w:eastAsia="ja-JP"/>
        </w:rPr>
        <w:t>Також не врахован</w:t>
      </w:r>
      <w:r w:rsidR="00FE63F2">
        <w:rPr>
          <w:rFonts w:ascii="Times New Roman" w:eastAsia="MS Mincho" w:hAnsi="Times New Roman"/>
          <w:bCs/>
          <w:sz w:val="28"/>
          <w:szCs w:val="28"/>
          <w:lang w:eastAsia="ja-JP"/>
        </w:rPr>
        <w:t>о</w:t>
      </w:r>
      <w:r w:rsidRPr="008B0D72">
        <w:rPr>
          <w:rFonts w:ascii="Times New Roman" w:eastAsia="MS Mincho" w:hAnsi="Times New Roman"/>
          <w:bCs/>
          <w:sz w:val="28"/>
          <w:szCs w:val="28"/>
          <w:lang w:eastAsia="ja-JP"/>
        </w:rPr>
        <w:t xml:space="preserve"> інші визначення термінів, таких як</w:t>
      </w:r>
      <w:r w:rsidR="00FE63F2">
        <w:rPr>
          <w:rFonts w:ascii="Times New Roman" w:eastAsia="MS Mincho" w:hAnsi="Times New Roman"/>
          <w:bCs/>
          <w:sz w:val="28"/>
          <w:szCs w:val="28"/>
          <w:lang w:eastAsia="ja-JP"/>
        </w:rPr>
        <w:t>:</w:t>
      </w:r>
      <w:r w:rsidRPr="008B0D72">
        <w:rPr>
          <w:rFonts w:ascii="Times New Roman" w:eastAsia="MS Mincho" w:hAnsi="Times New Roman"/>
          <w:bCs/>
          <w:sz w:val="28"/>
          <w:szCs w:val="28"/>
          <w:lang w:eastAsia="ja-JP"/>
        </w:rPr>
        <w:t xml:space="preserve"> «потенційне опромінення», «ситуація аварійного опромінення», «план дій в надзвичайних ситуаціях» та ін.</w:t>
      </w:r>
    </w:p>
    <w:p w:rsidR="00CF535A" w:rsidRPr="008B0D72" w:rsidRDefault="00CF535A" w:rsidP="00CF535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eastAsia="MS Mincho" w:hAnsi="Times New Roman"/>
          <w:bCs/>
          <w:sz w:val="28"/>
          <w:szCs w:val="28"/>
          <w:lang w:eastAsia="ja-JP"/>
        </w:rPr>
        <w:t>Директива містить також, окрім інших понять, таке визначення як «</w:t>
      </w:r>
      <w:r w:rsidRPr="008B0D72">
        <w:rPr>
          <w:rFonts w:ascii="Times New Roman" w:hAnsi="Times New Roman"/>
          <w:sz w:val="28"/>
          <w:szCs w:val="28"/>
        </w:rPr>
        <w:t xml:space="preserve">потенційне опромінення», яке являє собою опромінення, якого не можна чекати з упевненістю, але яке може статись через подію або послідовність подій </w:t>
      </w:r>
      <w:r w:rsidR="00FE63F2">
        <w:rPr>
          <w:rFonts w:ascii="Times New Roman" w:hAnsi="Times New Roman"/>
          <w:sz w:val="28"/>
          <w:szCs w:val="28"/>
        </w:rPr>
        <w:t>й</w:t>
      </w:r>
      <w:r w:rsidRPr="008B0D72">
        <w:rPr>
          <w:rFonts w:ascii="Times New Roman" w:hAnsi="Times New Roman"/>
          <w:sz w:val="28"/>
          <w:szCs w:val="28"/>
        </w:rPr>
        <w:t>мовірного характеру, у тому числі</w:t>
      </w:r>
      <w:r w:rsidR="00FE63F2">
        <w:rPr>
          <w:rFonts w:ascii="Times New Roman" w:hAnsi="Times New Roman"/>
          <w:sz w:val="28"/>
          <w:szCs w:val="28"/>
        </w:rPr>
        <w:t>,</w:t>
      </w:r>
      <w:r w:rsidRPr="008B0D72">
        <w:rPr>
          <w:rFonts w:ascii="Times New Roman" w:hAnsi="Times New Roman"/>
          <w:sz w:val="28"/>
          <w:szCs w:val="28"/>
        </w:rPr>
        <w:t xml:space="preserve"> через збій обладнання та експлуатаційні помилки. В українському правовому полі містяться згадки про потенційне опромінення, але без розкриття його змісту. </w:t>
      </w:r>
    </w:p>
    <w:p w:rsidR="00CF535A" w:rsidRPr="008B0D72" w:rsidRDefault="00CF535A" w:rsidP="00FE63F2">
      <w:pPr>
        <w:widowControl w:val="0"/>
        <w:autoSpaceDE w:val="0"/>
        <w:autoSpaceDN w:val="0"/>
        <w:adjustRightInd w:val="0"/>
        <w:spacing w:after="0"/>
        <w:ind w:firstLine="316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Окремою статтею Директиви під номером 10 визначені заходи для захисту вагітних робітниць і </w:t>
      </w:r>
      <w:proofErr w:type="spellStart"/>
      <w:r w:rsidRPr="008B0D72">
        <w:rPr>
          <w:rFonts w:ascii="Times New Roman" w:hAnsi="Times New Roman"/>
          <w:sz w:val="28"/>
          <w:szCs w:val="28"/>
        </w:rPr>
        <w:t>годуючих</w:t>
      </w:r>
      <w:proofErr w:type="spellEnd"/>
      <w:r w:rsidRPr="008B0D72">
        <w:rPr>
          <w:rFonts w:ascii="Times New Roman" w:hAnsi="Times New Roman"/>
          <w:sz w:val="28"/>
          <w:szCs w:val="28"/>
        </w:rPr>
        <w:t xml:space="preserve"> матерів, а саме забезпечення захисту материнського плоду на тому ж рівні, що й для населення.</w:t>
      </w:r>
      <w:r w:rsidR="00FE63F2">
        <w:rPr>
          <w:rFonts w:ascii="Times New Roman" w:hAnsi="Times New Roman"/>
          <w:sz w:val="28"/>
          <w:szCs w:val="28"/>
        </w:rPr>
        <w:t xml:space="preserve"> Натомість, у</w:t>
      </w:r>
      <w:r w:rsidRPr="008B0D72">
        <w:rPr>
          <w:rFonts w:ascii="Times New Roman" w:hAnsi="Times New Roman"/>
          <w:sz w:val="28"/>
          <w:szCs w:val="28"/>
        </w:rPr>
        <w:t xml:space="preserve"> зазначеному проекті Закону відсутні такі норми. </w:t>
      </w:r>
    </w:p>
    <w:p w:rsidR="00CF535A" w:rsidRPr="008B0D72" w:rsidRDefault="00CF535A" w:rsidP="00CF535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F535A" w:rsidRPr="008B0D72" w:rsidRDefault="00CF535A" w:rsidP="00CF535A">
      <w:pPr>
        <w:numPr>
          <w:ilvl w:val="0"/>
          <w:numId w:val="1"/>
        </w:numPr>
        <w:shd w:val="clear" w:color="auto" w:fill="D9D9D9"/>
        <w:autoSpaceDE w:val="0"/>
        <w:autoSpaceDN w:val="0"/>
        <w:spacing w:after="0"/>
        <w:ind w:left="426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8B0D72">
        <w:rPr>
          <w:rFonts w:ascii="Times New Roman" w:hAnsi="Times New Roman"/>
          <w:b/>
          <w:bCs/>
          <w:sz w:val="28"/>
          <w:szCs w:val="28"/>
        </w:rPr>
        <w:lastRenderedPageBreak/>
        <w:t xml:space="preserve">Висновок Комітету </w:t>
      </w:r>
      <w:r w:rsidRPr="008B0D72">
        <w:rPr>
          <w:rFonts w:ascii="Times New Roman" w:hAnsi="Times New Roman"/>
          <w:b/>
          <w:sz w:val="28"/>
          <w:szCs w:val="28"/>
          <w:lang w:val="ru-RU"/>
        </w:rPr>
        <w:t xml:space="preserve">з </w:t>
      </w:r>
      <w:proofErr w:type="spellStart"/>
      <w:r w:rsidRPr="008B0D72">
        <w:rPr>
          <w:rFonts w:ascii="Times New Roman" w:hAnsi="Times New Roman"/>
          <w:b/>
          <w:sz w:val="28"/>
          <w:szCs w:val="28"/>
          <w:lang w:val="ru-RU"/>
        </w:rPr>
        <w:t>питань</w:t>
      </w:r>
      <w:proofErr w:type="spellEnd"/>
      <w:r w:rsidRPr="008B0D7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інтеграції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Європейським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Союзом</w:t>
      </w:r>
      <w:r w:rsidRPr="008B0D72">
        <w:rPr>
          <w:rFonts w:ascii="Times New Roman" w:hAnsi="Times New Roman"/>
          <w:b/>
          <w:bCs/>
          <w:sz w:val="28"/>
          <w:szCs w:val="28"/>
        </w:rPr>
        <w:t>:</w:t>
      </w:r>
    </w:p>
    <w:p w:rsidR="00CF535A" w:rsidRPr="008B0D72" w:rsidRDefault="00CF535A" w:rsidP="00CF535A">
      <w:pPr>
        <w:shd w:val="clear" w:color="auto" w:fill="FFFFFF"/>
        <w:autoSpaceDE w:val="0"/>
        <w:autoSpaceDN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45B81" w:rsidRPr="00B45B81" w:rsidRDefault="00B45B81" w:rsidP="00B45B8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5B81">
        <w:rPr>
          <w:rFonts w:ascii="Times New Roman" w:hAnsi="Times New Roman"/>
          <w:sz w:val="28"/>
          <w:szCs w:val="28"/>
          <w:lang w:eastAsia="ru-RU"/>
        </w:rPr>
        <w:t xml:space="preserve">Народні депутати-члени Комітету </w:t>
      </w:r>
      <w:r w:rsidRPr="00B45B81">
        <w:rPr>
          <w:rFonts w:ascii="Times New Roman" w:hAnsi="Times New Roman"/>
          <w:b/>
          <w:sz w:val="28"/>
          <w:szCs w:val="28"/>
          <w:lang w:eastAsia="ru-RU"/>
        </w:rPr>
        <w:t xml:space="preserve">підтримали </w:t>
      </w:r>
      <w:r w:rsidRPr="00B45B81">
        <w:rPr>
          <w:rFonts w:ascii="Times New Roman" w:hAnsi="Times New Roman"/>
          <w:sz w:val="28"/>
          <w:szCs w:val="28"/>
          <w:lang w:eastAsia="ru-RU"/>
        </w:rPr>
        <w:t xml:space="preserve">зазначений проект Закону як такий,  що  за своєю метою не суперечить міжнародно-правовим зобов’язанням України, однак висловили зауваження щодо необхідності визначення терміну «план дій у надзвичайних ситуаціях». Також, у законопроекті </w:t>
      </w:r>
      <w:r w:rsidRPr="00B45B81">
        <w:rPr>
          <w:rFonts w:ascii="Times New Roman" w:hAnsi="Times New Roman"/>
          <w:b/>
          <w:sz w:val="28"/>
          <w:szCs w:val="28"/>
          <w:lang w:eastAsia="ru-RU"/>
        </w:rPr>
        <w:t>не в повному</w:t>
      </w:r>
      <w:r w:rsidRPr="00B45B81">
        <w:rPr>
          <w:rFonts w:ascii="Times New Roman" w:hAnsi="Times New Roman"/>
          <w:sz w:val="28"/>
          <w:szCs w:val="28"/>
          <w:lang w:eastAsia="ru-RU"/>
        </w:rPr>
        <w:t xml:space="preserve"> обсязі враховуються норми Директиви Ради ЄС №2013/59/Євратом. </w:t>
      </w:r>
    </w:p>
    <w:p w:rsidR="00CF535A" w:rsidRPr="008B0D72" w:rsidRDefault="00CF535A" w:rsidP="00CF535A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F535A" w:rsidRPr="008B0D72" w:rsidRDefault="00CF535A" w:rsidP="00CF535A">
      <w:pPr>
        <w:rPr>
          <w:rFonts w:ascii="Times New Roman" w:hAnsi="Times New Roman"/>
          <w:sz w:val="28"/>
          <w:szCs w:val="28"/>
        </w:rPr>
      </w:pPr>
    </w:p>
    <w:p w:rsidR="00CF535A" w:rsidRPr="008B0D72" w:rsidRDefault="00CF535A" w:rsidP="00CF535A">
      <w:pPr>
        <w:rPr>
          <w:rFonts w:ascii="Times New Roman" w:hAnsi="Times New Roman"/>
          <w:sz w:val="28"/>
          <w:szCs w:val="28"/>
        </w:rPr>
      </w:pPr>
    </w:p>
    <w:p w:rsidR="00CF535A" w:rsidRPr="008B0D72" w:rsidRDefault="00CF535A" w:rsidP="00CF535A">
      <w:pPr>
        <w:rPr>
          <w:rFonts w:ascii="Times New Roman" w:hAnsi="Times New Roman"/>
          <w:sz w:val="28"/>
          <w:szCs w:val="28"/>
        </w:rPr>
      </w:pPr>
    </w:p>
    <w:p w:rsidR="00CF535A" w:rsidRDefault="00CF535A" w:rsidP="00CF535A">
      <w:pPr>
        <w:rPr>
          <w:rFonts w:ascii="Times New Roman" w:hAnsi="Times New Roman"/>
          <w:sz w:val="28"/>
          <w:szCs w:val="28"/>
        </w:rPr>
      </w:pPr>
    </w:p>
    <w:p w:rsidR="00CF535A" w:rsidRDefault="00CF535A" w:rsidP="00CF535A">
      <w:pPr>
        <w:rPr>
          <w:rFonts w:ascii="Times New Roman" w:hAnsi="Times New Roman"/>
          <w:sz w:val="28"/>
          <w:szCs w:val="28"/>
        </w:rPr>
      </w:pPr>
    </w:p>
    <w:p w:rsidR="00CF535A" w:rsidRDefault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225A55" w:rsidRDefault="00CF535A" w:rsidP="00CF535A">
      <w:pPr>
        <w:rPr>
          <w:lang w:val="ru-RU"/>
        </w:rPr>
      </w:pPr>
    </w:p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CF535A" w:rsidRPr="00CF535A" w:rsidRDefault="00CF535A" w:rsidP="00CF535A"/>
    <w:p w:rsidR="00156303" w:rsidRPr="00CF535A" w:rsidRDefault="00156303" w:rsidP="00CF535A">
      <w:pPr>
        <w:jc w:val="left"/>
        <w:rPr>
          <w:rFonts w:ascii="Times New Roman" w:hAnsi="Times New Roman"/>
          <w:color w:val="A6A6A6" w:themeColor="background1" w:themeShade="A6"/>
        </w:rPr>
      </w:pPr>
    </w:p>
    <w:sectPr w:rsidR="00156303" w:rsidRPr="00CF53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E09C2"/>
    <w:multiLevelType w:val="hybridMultilevel"/>
    <w:tmpl w:val="E1AAE634"/>
    <w:lvl w:ilvl="0" w:tplc="0422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FBC424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262"/>
    <w:rsid w:val="00065364"/>
    <w:rsid w:val="000F72C7"/>
    <w:rsid w:val="00156303"/>
    <w:rsid w:val="00225A55"/>
    <w:rsid w:val="00344DF0"/>
    <w:rsid w:val="00563610"/>
    <w:rsid w:val="00A63262"/>
    <w:rsid w:val="00B45B81"/>
    <w:rsid w:val="00B45E2F"/>
    <w:rsid w:val="00CF535A"/>
    <w:rsid w:val="00FE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6E36D"/>
  <w15:chartTrackingRefBased/>
  <w15:docId w15:val="{B75F2684-6C7B-4D21-81DA-962CD9ED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35A"/>
    <w:pPr>
      <w:spacing w:after="120" w:line="240" w:lineRule="auto"/>
      <w:jc w:val="center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Íîđěŕëüíčé ňĺęńň"/>
    <w:basedOn w:val="a"/>
    <w:uiPriority w:val="99"/>
    <w:rsid w:val="00CF535A"/>
    <w:pPr>
      <w:spacing w:before="120" w:after="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styleId="a4">
    <w:name w:val="Strong"/>
    <w:basedOn w:val="a0"/>
    <w:uiPriority w:val="99"/>
    <w:qFormat/>
    <w:rsid w:val="00CF535A"/>
    <w:rPr>
      <w:rFonts w:cs="Times New Roman"/>
      <w:b/>
    </w:rPr>
  </w:style>
  <w:style w:type="paragraph" w:customStyle="1" w:styleId="a5">
    <w:name w:val="Нормальний текст"/>
    <w:basedOn w:val="a"/>
    <w:rsid w:val="00CF535A"/>
    <w:pPr>
      <w:spacing w:before="120" w:after="0"/>
      <w:ind w:firstLine="567"/>
      <w:jc w:val="both"/>
    </w:pPr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3789</Words>
  <Characters>2160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5</cp:revision>
  <dcterms:created xsi:type="dcterms:W3CDTF">2019-09-03T09:00:00Z</dcterms:created>
  <dcterms:modified xsi:type="dcterms:W3CDTF">2019-09-05T12:49:00Z</dcterms:modified>
</cp:coreProperties>
</file>