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FFE" w:rsidRPr="004B7FFE" w:rsidRDefault="004B7FFE" w:rsidP="004B7FFE">
      <w:pPr>
        <w:spacing w:after="0" w:line="240" w:lineRule="auto"/>
        <w:ind w:firstLine="709"/>
        <w:jc w:val="right"/>
        <w:rPr>
          <w:rFonts w:ascii="Times New Roman" w:eastAsia="Calibri" w:hAnsi="Times New Roman" w:cs="Times New Roman"/>
          <w:sz w:val="24"/>
          <w:szCs w:val="24"/>
        </w:rPr>
      </w:pPr>
      <w:r w:rsidRPr="004B7FFE">
        <w:rPr>
          <w:rFonts w:ascii="Times New Roman" w:eastAsia="Calibri" w:hAnsi="Times New Roman" w:cs="Times New Roman"/>
          <w:sz w:val="24"/>
          <w:szCs w:val="24"/>
        </w:rPr>
        <w:t>До реєстр.№ 0898</w:t>
      </w:r>
    </w:p>
    <w:p w:rsidR="004B7FFE" w:rsidRPr="004B7FFE" w:rsidRDefault="004B7FFE" w:rsidP="004B7FFE">
      <w:pPr>
        <w:spacing w:after="0" w:line="240" w:lineRule="auto"/>
        <w:ind w:firstLine="709"/>
        <w:jc w:val="right"/>
        <w:rPr>
          <w:rFonts w:ascii="Times New Roman" w:eastAsia="Calibri" w:hAnsi="Times New Roman" w:cs="Times New Roman"/>
          <w:sz w:val="24"/>
          <w:szCs w:val="24"/>
        </w:rPr>
      </w:pPr>
      <w:r w:rsidRPr="004B7FFE">
        <w:rPr>
          <w:rFonts w:ascii="Times New Roman" w:eastAsia="Calibri" w:hAnsi="Times New Roman" w:cs="Times New Roman"/>
          <w:sz w:val="24"/>
          <w:szCs w:val="24"/>
        </w:rPr>
        <w:t>(друге читання)</w:t>
      </w:r>
    </w:p>
    <w:p w:rsidR="004B7FFE" w:rsidRPr="004B7FFE" w:rsidRDefault="004B7FFE" w:rsidP="004B7FFE">
      <w:pPr>
        <w:ind w:firstLine="708"/>
        <w:jc w:val="both"/>
        <w:rPr>
          <w:rFonts w:ascii="Times New Roman" w:eastAsia="Calibri" w:hAnsi="Times New Roman" w:cs="Times New Roman"/>
          <w:sz w:val="28"/>
        </w:rPr>
      </w:pPr>
    </w:p>
    <w:p w:rsidR="004B7FFE" w:rsidRPr="004B7FFE" w:rsidRDefault="004B7FFE" w:rsidP="004B7FFE">
      <w:pPr>
        <w:ind w:firstLine="708"/>
        <w:jc w:val="both"/>
        <w:rPr>
          <w:rFonts w:ascii="Times New Roman" w:eastAsia="Calibri" w:hAnsi="Times New Roman" w:cs="Times New Roman"/>
          <w:sz w:val="28"/>
        </w:rPr>
      </w:pPr>
    </w:p>
    <w:p w:rsidR="004B7FFE" w:rsidRPr="004B7FFE" w:rsidRDefault="004B7FFE" w:rsidP="004B7FFE">
      <w:pPr>
        <w:ind w:firstLine="708"/>
        <w:jc w:val="both"/>
        <w:rPr>
          <w:rFonts w:ascii="Times New Roman" w:eastAsia="Calibri" w:hAnsi="Times New Roman" w:cs="Times New Roman"/>
          <w:sz w:val="28"/>
        </w:rPr>
      </w:pPr>
    </w:p>
    <w:p w:rsidR="004B7FFE" w:rsidRPr="004B7FFE" w:rsidRDefault="004B7FFE" w:rsidP="004B7FFE">
      <w:pPr>
        <w:ind w:firstLine="708"/>
        <w:jc w:val="both"/>
        <w:rPr>
          <w:rFonts w:ascii="Times New Roman" w:eastAsia="Calibri" w:hAnsi="Times New Roman" w:cs="Times New Roman"/>
          <w:sz w:val="28"/>
        </w:rPr>
      </w:pPr>
    </w:p>
    <w:p w:rsidR="004B7FFE" w:rsidRPr="004B7FFE" w:rsidRDefault="004B7FFE" w:rsidP="004B7FFE">
      <w:pPr>
        <w:ind w:firstLine="708"/>
        <w:jc w:val="center"/>
        <w:rPr>
          <w:rFonts w:ascii="Times New Roman" w:eastAsia="Calibri" w:hAnsi="Times New Roman" w:cs="Times New Roman"/>
          <w:sz w:val="28"/>
        </w:rPr>
      </w:pPr>
    </w:p>
    <w:p w:rsidR="004B7FFE" w:rsidRDefault="004B7FFE" w:rsidP="004B7FFE">
      <w:pPr>
        <w:ind w:firstLine="708"/>
        <w:jc w:val="center"/>
        <w:rPr>
          <w:rFonts w:ascii="Times New Roman" w:eastAsia="Calibri" w:hAnsi="Times New Roman" w:cs="Times New Roman"/>
          <w:sz w:val="28"/>
        </w:rPr>
      </w:pPr>
    </w:p>
    <w:p w:rsidR="004B7FFE" w:rsidRPr="004B7FFE" w:rsidRDefault="004B7FFE" w:rsidP="004B7FFE">
      <w:pPr>
        <w:spacing w:after="0"/>
        <w:ind w:firstLine="709"/>
        <w:jc w:val="center"/>
        <w:rPr>
          <w:rFonts w:ascii="Times New Roman" w:eastAsia="Calibri" w:hAnsi="Times New Roman" w:cs="Times New Roman"/>
          <w:sz w:val="28"/>
        </w:rPr>
      </w:pPr>
      <w:r w:rsidRPr="004B7FFE">
        <w:rPr>
          <w:rFonts w:ascii="Times New Roman" w:eastAsia="Calibri" w:hAnsi="Times New Roman" w:cs="Times New Roman"/>
          <w:sz w:val="28"/>
        </w:rPr>
        <w:t>Зауваження</w:t>
      </w:r>
    </w:p>
    <w:p w:rsidR="004B7FFE" w:rsidRPr="004B7FFE" w:rsidRDefault="004B7FFE" w:rsidP="004B7FFE">
      <w:pPr>
        <w:spacing w:after="0"/>
        <w:ind w:firstLine="709"/>
        <w:jc w:val="center"/>
        <w:rPr>
          <w:rFonts w:ascii="Times New Roman" w:eastAsia="Calibri" w:hAnsi="Times New Roman" w:cs="Times New Roman"/>
          <w:sz w:val="28"/>
        </w:rPr>
      </w:pPr>
      <w:r w:rsidRPr="004B7FFE">
        <w:rPr>
          <w:rFonts w:ascii="Times New Roman" w:eastAsia="Calibri" w:hAnsi="Times New Roman" w:cs="Times New Roman"/>
          <w:sz w:val="28"/>
        </w:rPr>
        <w:t>до проекту Закону України «Про внесення змін до Закону України</w:t>
      </w:r>
    </w:p>
    <w:p w:rsidR="004B7FFE" w:rsidRPr="004B7FFE" w:rsidRDefault="004B7FFE" w:rsidP="004B7FFE">
      <w:pPr>
        <w:spacing w:after="0"/>
        <w:ind w:firstLine="709"/>
        <w:jc w:val="center"/>
        <w:rPr>
          <w:rFonts w:ascii="Times New Roman" w:eastAsia="Calibri" w:hAnsi="Times New Roman" w:cs="Times New Roman"/>
          <w:sz w:val="28"/>
        </w:rPr>
      </w:pPr>
      <w:r w:rsidRPr="004B7FFE">
        <w:rPr>
          <w:rFonts w:ascii="Times New Roman" w:eastAsia="Calibri" w:hAnsi="Times New Roman" w:cs="Times New Roman"/>
          <w:sz w:val="28"/>
        </w:rPr>
        <w:t xml:space="preserve">«Про наукову і науково-технічну діяльність» </w:t>
      </w:r>
    </w:p>
    <w:p w:rsidR="004B7FFE" w:rsidRPr="004B7FFE" w:rsidRDefault="004B7FFE" w:rsidP="004B7FFE">
      <w:pPr>
        <w:spacing w:after="0"/>
        <w:ind w:firstLine="709"/>
        <w:jc w:val="center"/>
        <w:rPr>
          <w:rFonts w:ascii="Times New Roman" w:eastAsia="Calibri" w:hAnsi="Times New Roman" w:cs="Times New Roman"/>
          <w:sz w:val="28"/>
        </w:rPr>
      </w:pPr>
      <w:r w:rsidRPr="004B7FFE">
        <w:rPr>
          <w:rFonts w:ascii="Times New Roman" w:eastAsia="Calibri" w:hAnsi="Times New Roman" w:cs="Times New Roman"/>
          <w:sz w:val="28"/>
        </w:rPr>
        <w:t>(реєстраційний № 0898)</w:t>
      </w:r>
    </w:p>
    <w:p w:rsidR="004B7FFE" w:rsidRPr="004B7FFE" w:rsidRDefault="004B7FFE" w:rsidP="004B7FFE">
      <w:pPr>
        <w:ind w:firstLine="708"/>
        <w:jc w:val="center"/>
        <w:rPr>
          <w:rFonts w:ascii="Times New Roman" w:eastAsia="Calibri" w:hAnsi="Times New Roman" w:cs="Times New Roman"/>
          <w:sz w:val="28"/>
        </w:rPr>
      </w:pPr>
    </w:p>
    <w:p w:rsidR="004B7FFE" w:rsidRDefault="004B7FFE" w:rsidP="004B7FFE">
      <w:pPr>
        <w:ind w:firstLine="708"/>
        <w:jc w:val="both"/>
        <w:rPr>
          <w:rFonts w:ascii="Times New Roman" w:eastAsia="Calibri" w:hAnsi="Times New Roman" w:cs="Times New Roman"/>
          <w:sz w:val="28"/>
        </w:rPr>
      </w:pPr>
      <w:r w:rsidRPr="004B7FFE">
        <w:rPr>
          <w:rFonts w:ascii="Times New Roman" w:eastAsia="Calibri" w:hAnsi="Times New Roman" w:cs="Times New Roman"/>
          <w:sz w:val="28"/>
        </w:rPr>
        <w:t xml:space="preserve">У Головному юридичному управлінні розглянуто зазначений законопроект, </w:t>
      </w:r>
      <w:r>
        <w:rPr>
          <w:rFonts w:ascii="Times New Roman" w:eastAsia="Calibri" w:hAnsi="Times New Roman" w:cs="Times New Roman"/>
          <w:sz w:val="28"/>
        </w:rPr>
        <w:t xml:space="preserve">доопрацьований </w:t>
      </w:r>
      <w:r w:rsidRPr="004B7FFE">
        <w:rPr>
          <w:rFonts w:ascii="Times New Roman" w:eastAsia="Calibri" w:hAnsi="Times New Roman" w:cs="Times New Roman"/>
          <w:sz w:val="28"/>
        </w:rPr>
        <w:t xml:space="preserve">Комітетом Верховної Ради України з питань освіти, науки та інновацій </w:t>
      </w:r>
      <w:r>
        <w:rPr>
          <w:rFonts w:ascii="Times New Roman" w:eastAsia="Calibri" w:hAnsi="Times New Roman" w:cs="Times New Roman"/>
          <w:sz w:val="28"/>
        </w:rPr>
        <w:t xml:space="preserve">з урахуванням наданих </w:t>
      </w:r>
      <w:r>
        <w:rPr>
          <w:rFonts w:ascii="Times New Roman" w:eastAsia="Calibri" w:hAnsi="Times New Roman" w:cs="Times New Roman"/>
          <w:sz w:val="28"/>
        </w:rPr>
        <w:t>24.10.2019р. Г</w:t>
      </w:r>
      <w:r>
        <w:rPr>
          <w:rFonts w:ascii="Times New Roman" w:eastAsia="Calibri" w:hAnsi="Times New Roman" w:cs="Times New Roman"/>
          <w:sz w:val="28"/>
        </w:rPr>
        <w:t>оловним юридичним управлінням зауважень</w:t>
      </w:r>
      <w:r w:rsidRPr="004B7FFE">
        <w:rPr>
          <w:rFonts w:ascii="Times New Roman" w:eastAsia="Calibri" w:hAnsi="Times New Roman" w:cs="Times New Roman"/>
          <w:sz w:val="28"/>
        </w:rPr>
        <w:t xml:space="preserve"> </w:t>
      </w:r>
      <w:r>
        <w:rPr>
          <w:rFonts w:ascii="Times New Roman" w:eastAsia="Calibri" w:hAnsi="Times New Roman" w:cs="Times New Roman"/>
          <w:sz w:val="28"/>
        </w:rPr>
        <w:t xml:space="preserve">та </w:t>
      </w:r>
      <w:r w:rsidRPr="004B7FFE">
        <w:rPr>
          <w:rFonts w:ascii="Times New Roman" w:eastAsia="Calibri" w:hAnsi="Times New Roman" w:cs="Times New Roman"/>
          <w:sz w:val="28"/>
        </w:rPr>
        <w:t>підготовлений до розгляду у другому читанні</w:t>
      </w:r>
      <w:r>
        <w:rPr>
          <w:rFonts w:ascii="Times New Roman" w:eastAsia="Calibri" w:hAnsi="Times New Roman" w:cs="Times New Roman"/>
          <w:sz w:val="28"/>
        </w:rPr>
        <w:t xml:space="preserve">. </w:t>
      </w:r>
      <w:r w:rsidRPr="004B7FFE">
        <w:rPr>
          <w:rFonts w:ascii="Times New Roman" w:eastAsia="Calibri" w:hAnsi="Times New Roman" w:cs="Times New Roman"/>
          <w:sz w:val="28"/>
        </w:rPr>
        <w:t xml:space="preserve"> </w:t>
      </w:r>
      <w:r w:rsidR="007E1D6D">
        <w:rPr>
          <w:rFonts w:ascii="Times New Roman" w:eastAsia="Calibri" w:hAnsi="Times New Roman" w:cs="Times New Roman"/>
          <w:sz w:val="28"/>
        </w:rPr>
        <w:t>Разом з тим</w:t>
      </w:r>
      <w:r>
        <w:rPr>
          <w:rFonts w:ascii="Times New Roman" w:eastAsia="Calibri" w:hAnsi="Times New Roman" w:cs="Times New Roman"/>
          <w:sz w:val="28"/>
        </w:rPr>
        <w:t xml:space="preserve"> звертається увага на неузгодженості у тексті</w:t>
      </w:r>
      <w:r w:rsidR="007E1D6D">
        <w:rPr>
          <w:rFonts w:ascii="Times New Roman" w:eastAsia="Calibri" w:hAnsi="Times New Roman" w:cs="Times New Roman"/>
          <w:sz w:val="28"/>
        </w:rPr>
        <w:t xml:space="preserve"> проекту</w:t>
      </w:r>
      <w:r>
        <w:rPr>
          <w:rFonts w:ascii="Times New Roman" w:eastAsia="Calibri" w:hAnsi="Times New Roman" w:cs="Times New Roman"/>
          <w:sz w:val="28"/>
        </w:rPr>
        <w:t>, які не бу</w:t>
      </w:r>
      <w:r w:rsidR="001219DF">
        <w:rPr>
          <w:rFonts w:ascii="Times New Roman" w:eastAsia="Calibri" w:hAnsi="Times New Roman" w:cs="Times New Roman"/>
          <w:sz w:val="28"/>
        </w:rPr>
        <w:t xml:space="preserve">ли усунуті </w:t>
      </w:r>
      <w:r w:rsidR="007E1D6D">
        <w:rPr>
          <w:rFonts w:ascii="Times New Roman" w:eastAsia="Calibri" w:hAnsi="Times New Roman" w:cs="Times New Roman"/>
          <w:sz w:val="28"/>
        </w:rPr>
        <w:t xml:space="preserve">під час доопрацювання. </w:t>
      </w:r>
      <w:bookmarkStart w:id="0" w:name="_GoBack"/>
      <w:bookmarkEnd w:id="0"/>
      <w:r>
        <w:rPr>
          <w:rFonts w:ascii="Times New Roman" w:eastAsia="Calibri" w:hAnsi="Times New Roman" w:cs="Times New Roman"/>
          <w:sz w:val="28"/>
        </w:rPr>
        <w:t>Зокрема.</w:t>
      </w:r>
    </w:p>
    <w:p w:rsidR="004B7FFE" w:rsidRPr="004B7FFE" w:rsidRDefault="004B7FFE" w:rsidP="004B7FFE">
      <w:pPr>
        <w:ind w:firstLine="708"/>
        <w:jc w:val="both"/>
        <w:rPr>
          <w:rFonts w:ascii="Times New Roman" w:eastAsia="Calibri" w:hAnsi="Times New Roman" w:cs="Times New Roman"/>
          <w:sz w:val="28"/>
        </w:rPr>
      </w:pPr>
      <w:r w:rsidRPr="004B7FFE">
        <w:rPr>
          <w:rFonts w:ascii="Times New Roman" w:eastAsia="Calibri" w:hAnsi="Times New Roman" w:cs="Times New Roman"/>
          <w:sz w:val="28"/>
        </w:rPr>
        <w:t>1.  Законопроектом викладено в новій редакції частину другу статті 33 Закону України «Про наукову і науково-технічну діяльність» (далі - Закон) та визначено поняття «наукове відрядження». Проте таке визначення не узгоджується із визначенням понять «відрядження», «службове відрядження» як складових трудових відносин, передбачених законодавством про працю. Зокрема, відрядженням є поїздка працівника за наказом (розпорядженням) роботодавця на певний строк до іншого населеного пункту для виконання службового доручення поза місцем його постійної роботи. Оскільки особа, яка навчається за денною формою навчання (аспірант, докторант, ад’юнкт), не перебуває в трудових відносинах із закладом вищої освіти, а зарахована до нього на навчання, її поїздки до іншого населеного пункту за рішенням керівництва закладу вищої освіти для участі в наукових заходах поза місцем навчання не можуть вважатися  відрядженням, визначення якого та порядок оформлення, оплати, надання гарантій і компенсацій передбачені нормативно-правовими актами, що регулюють трудові відносини.</w:t>
      </w:r>
    </w:p>
    <w:p w:rsidR="004E1BA5" w:rsidRDefault="004B7FFE" w:rsidP="001B78D8">
      <w:pPr>
        <w:ind w:firstLine="708"/>
        <w:jc w:val="both"/>
        <w:rPr>
          <w:rFonts w:ascii="Times New Roman" w:eastAsia="Calibri" w:hAnsi="Times New Roman" w:cs="Times New Roman"/>
          <w:sz w:val="28"/>
        </w:rPr>
      </w:pPr>
      <w:r w:rsidRPr="004B7FFE">
        <w:rPr>
          <w:rFonts w:ascii="Times New Roman" w:eastAsia="Calibri" w:hAnsi="Times New Roman" w:cs="Times New Roman"/>
          <w:sz w:val="28"/>
        </w:rPr>
        <w:t xml:space="preserve">Крім того, у законодавстві з питань трудових відносин відсутній поділ </w:t>
      </w:r>
      <w:proofErr w:type="spellStart"/>
      <w:r w:rsidRPr="004B7FFE">
        <w:rPr>
          <w:rFonts w:ascii="Times New Roman" w:eastAsia="Calibri" w:hAnsi="Times New Roman" w:cs="Times New Roman"/>
          <w:sz w:val="28"/>
        </w:rPr>
        <w:t>відряджень</w:t>
      </w:r>
      <w:proofErr w:type="spellEnd"/>
      <w:r w:rsidRPr="004B7FFE">
        <w:rPr>
          <w:rFonts w:ascii="Times New Roman" w:eastAsia="Calibri" w:hAnsi="Times New Roman" w:cs="Times New Roman"/>
          <w:sz w:val="28"/>
        </w:rPr>
        <w:t xml:space="preserve"> за їх метою (виробниче, наукове, навчальне тощо).  Виокремлення «наукового відрядження» як особливого виду </w:t>
      </w:r>
      <w:proofErr w:type="spellStart"/>
      <w:r w:rsidRPr="004B7FFE">
        <w:rPr>
          <w:rFonts w:ascii="Times New Roman" w:eastAsia="Calibri" w:hAnsi="Times New Roman" w:cs="Times New Roman"/>
          <w:sz w:val="28"/>
        </w:rPr>
        <w:t>відряджень</w:t>
      </w:r>
      <w:proofErr w:type="spellEnd"/>
      <w:r w:rsidRPr="004B7FFE">
        <w:rPr>
          <w:rFonts w:ascii="Times New Roman" w:eastAsia="Calibri" w:hAnsi="Times New Roman" w:cs="Times New Roman"/>
          <w:sz w:val="28"/>
        </w:rPr>
        <w:t xml:space="preserve"> за відсутності нормативно-правових актів, що регулюють відносини, які виникають при направленні в «наукове відрядження»,  може створити неоднозначне </w:t>
      </w:r>
      <w:r w:rsidRPr="004B7FFE">
        <w:rPr>
          <w:rFonts w:ascii="Times New Roman" w:eastAsia="Calibri" w:hAnsi="Times New Roman" w:cs="Times New Roman"/>
          <w:sz w:val="28"/>
        </w:rPr>
        <w:lastRenderedPageBreak/>
        <w:t xml:space="preserve">застосування зазначених актів та не забезпечує надання працівникам пільг та компенсацій, передбачених законодавством при службових </w:t>
      </w:r>
      <w:proofErr w:type="spellStart"/>
      <w:r w:rsidRPr="004B7FFE">
        <w:rPr>
          <w:rFonts w:ascii="Times New Roman" w:eastAsia="Calibri" w:hAnsi="Times New Roman" w:cs="Times New Roman"/>
          <w:sz w:val="28"/>
        </w:rPr>
        <w:t>відрядженнях</w:t>
      </w:r>
      <w:proofErr w:type="spellEnd"/>
      <w:r w:rsidRPr="004B7FFE">
        <w:rPr>
          <w:rFonts w:ascii="Times New Roman" w:eastAsia="Calibri" w:hAnsi="Times New Roman" w:cs="Times New Roman"/>
          <w:sz w:val="28"/>
        </w:rPr>
        <w:t>.</w:t>
      </w:r>
    </w:p>
    <w:p w:rsidR="001B78D8" w:rsidRDefault="001B78D8" w:rsidP="001B78D8">
      <w:pPr>
        <w:ind w:firstLine="708"/>
        <w:jc w:val="both"/>
        <w:rPr>
          <w:rFonts w:ascii="Times New Roman" w:eastAsia="Calibri" w:hAnsi="Times New Roman" w:cs="Times New Roman"/>
          <w:sz w:val="28"/>
        </w:rPr>
      </w:pPr>
      <w:r>
        <w:rPr>
          <w:rFonts w:ascii="Times New Roman" w:eastAsia="Calibri" w:hAnsi="Times New Roman" w:cs="Times New Roman"/>
          <w:sz w:val="28"/>
        </w:rPr>
        <w:t>2</w:t>
      </w:r>
      <w:r w:rsidRPr="001B78D8">
        <w:rPr>
          <w:rFonts w:ascii="Times New Roman" w:eastAsia="Calibri" w:hAnsi="Times New Roman" w:cs="Times New Roman"/>
          <w:sz w:val="28"/>
        </w:rPr>
        <w:t xml:space="preserve">. </w:t>
      </w:r>
      <w:r>
        <w:rPr>
          <w:rFonts w:ascii="Times New Roman" w:eastAsia="Calibri" w:hAnsi="Times New Roman" w:cs="Times New Roman"/>
          <w:sz w:val="28"/>
        </w:rPr>
        <w:t>П</w:t>
      </w:r>
      <w:r w:rsidRPr="001B78D8">
        <w:rPr>
          <w:rFonts w:ascii="Times New Roman" w:eastAsia="Calibri" w:hAnsi="Times New Roman" w:cs="Times New Roman"/>
          <w:sz w:val="28"/>
        </w:rPr>
        <w:t>роектом передбачається внесення зміни до статті 48 Закону та доповнення її положенням, згідно з яким обсяг коштів державного бюджету, що спрямовується на наукову і науково-технічну діяльність, щорічно визначатиметься у законі України про Державний бюджет України «окремим рядком».</w:t>
      </w:r>
      <w:r w:rsidRPr="001B78D8">
        <w:rPr>
          <w:rFonts w:ascii="Times New Roman" w:eastAsia="Calibri" w:hAnsi="Times New Roman" w:cs="Times New Roman"/>
          <w:b/>
          <w:sz w:val="28"/>
        </w:rPr>
        <w:t xml:space="preserve"> </w:t>
      </w:r>
      <w:r w:rsidRPr="001B78D8">
        <w:rPr>
          <w:rFonts w:ascii="Times New Roman" w:eastAsia="Calibri" w:hAnsi="Times New Roman" w:cs="Times New Roman"/>
          <w:sz w:val="28"/>
        </w:rPr>
        <w:t>Зазначені зміни стосуються процесу складання бюджету і не відповідають статті 1 Бюджетного кодексу України, якою встановлено, що відносини,   які виникають у процесі складання,  розгляду,  затвердження, виконання бюджетів, регулюються лише цим Кодексом.</w:t>
      </w:r>
    </w:p>
    <w:p w:rsidR="001B78D8" w:rsidRDefault="001B78D8" w:rsidP="001B78D8">
      <w:pPr>
        <w:ind w:firstLine="708"/>
        <w:jc w:val="both"/>
        <w:rPr>
          <w:rFonts w:ascii="Times New Roman" w:eastAsia="Calibri" w:hAnsi="Times New Roman" w:cs="Times New Roman"/>
          <w:sz w:val="28"/>
        </w:rPr>
      </w:pPr>
    </w:p>
    <w:p w:rsidR="001B78D8" w:rsidRDefault="001B78D8" w:rsidP="001B78D8">
      <w:pPr>
        <w:ind w:firstLine="708"/>
        <w:jc w:val="both"/>
        <w:rPr>
          <w:rFonts w:ascii="Times New Roman" w:eastAsia="Calibri" w:hAnsi="Times New Roman" w:cs="Times New Roman"/>
          <w:sz w:val="28"/>
        </w:rPr>
      </w:pPr>
    </w:p>
    <w:p w:rsidR="001B78D8" w:rsidRPr="001B78D8" w:rsidRDefault="001B78D8" w:rsidP="001B78D8">
      <w:pPr>
        <w:spacing w:after="0"/>
        <w:jc w:val="both"/>
        <w:rPr>
          <w:rFonts w:ascii="Times New Roman" w:eastAsia="Calibri" w:hAnsi="Times New Roman" w:cs="Times New Roman"/>
          <w:b/>
          <w:sz w:val="28"/>
        </w:rPr>
      </w:pPr>
      <w:r w:rsidRPr="001B78D8">
        <w:rPr>
          <w:rFonts w:ascii="Times New Roman" w:eastAsia="Calibri" w:hAnsi="Times New Roman" w:cs="Times New Roman"/>
          <w:b/>
          <w:sz w:val="28"/>
        </w:rPr>
        <w:t>Заступник Керівника</w:t>
      </w:r>
    </w:p>
    <w:p w:rsidR="001B78D8" w:rsidRPr="001B78D8" w:rsidRDefault="001B78D8" w:rsidP="001B78D8">
      <w:pPr>
        <w:spacing w:after="0"/>
        <w:jc w:val="both"/>
        <w:rPr>
          <w:rFonts w:ascii="Times New Roman" w:eastAsia="Calibri" w:hAnsi="Times New Roman" w:cs="Times New Roman"/>
          <w:b/>
          <w:sz w:val="28"/>
        </w:rPr>
      </w:pPr>
      <w:r w:rsidRPr="001B78D8">
        <w:rPr>
          <w:rFonts w:ascii="Times New Roman" w:eastAsia="Calibri" w:hAnsi="Times New Roman" w:cs="Times New Roman"/>
          <w:b/>
          <w:sz w:val="28"/>
        </w:rPr>
        <w:t>Головного управління</w:t>
      </w:r>
      <w:r w:rsidRPr="001B78D8">
        <w:rPr>
          <w:rFonts w:ascii="Times New Roman" w:eastAsia="Calibri" w:hAnsi="Times New Roman" w:cs="Times New Roman"/>
          <w:b/>
          <w:sz w:val="28"/>
        </w:rPr>
        <w:tab/>
      </w:r>
      <w:r w:rsidRPr="001B78D8">
        <w:rPr>
          <w:rFonts w:ascii="Times New Roman" w:eastAsia="Calibri" w:hAnsi="Times New Roman" w:cs="Times New Roman"/>
          <w:b/>
          <w:sz w:val="28"/>
        </w:rPr>
        <w:tab/>
      </w:r>
      <w:r w:rsidRPr="001B78D8">
        <w:rPr>
          <w:rFonts w:ascii="Times New Roman" w:eastAsia="Calibri" w:hAnsi="Times New Roman" w:cs="Times New Roman"/>
          <w:b/>
          <w:sz w:val="28"/>
        </w:rPr>
        <w:tab/>
      </w:r>
      <w:r w:rsidRPr="001B78D8">
        <w:rPr>
          <w:rFonts w:ascii="Times New Roman" w:eastAsia="Calibri" w:hAnsi="Times New Roman" w:cs="Times New Roman"/>
          <w:b/>
          <w:sz w:val="28"/>
        </w:rPr>
        <w:tab/>
      </w:r>
      <w:r w:rsidRPr="001B78D8">
        <w:rPr>
          <w:rFonts w:ascii="Times New Roman" w:eastAsia="Calibri" w:hAnsi="Times New Roman" w:cs="Times New Roman"/>
          <w:b/>
          <w:sz w:val="28"/>
        </w:rPr>
        <w:tab/>
      </w:r>
      <w:r w:rsidRPr="001B78D8">
        <w:rPr>
          <w:rFonts w:ascii="Times New Roman" w:eastAsia="Calibri" w:hAnsi="Times New Roman" w:cs="Times New Roman"/>
          <w:b/>
          <w:sz w:val="28"/>
        </w:rPr>
        <w:tab/>
      </w:r>
      <w:r w:rsidRPr="001B78D8">
        <w:rPr>
          <w:rFonts w:ascii="Times New Roman" w:eastAsia="Calibri" w:hAnsi="Times New Roman" w:cs="Times New Roman"/>
          <w:b/>
          <w:sz w:val="28"/>
        </w:rPr>
        <w:tab/>
        <w:t>В. Мілованов</w:t>
      </w:r>
    </w:p>
    <w:p w:rsidR="001B78D8" w:rsidRPr="001B78D8" w:rsidRDefault="001B78D8" w:rsidP="001B78D8">
      <w:pPr>
        <w:ind w:firstLine="708"/>
        <w:jc w:val="both"/>
        <w:rPr>
          <w:rFonts w:ascii="Times New Roman" w:eastAsia="Calibri" w:hAnsi="Times New Roman" w:cs="Times New Roman"/>
          <w:sz w:val="28"/>
        </w:rPr>
      </w:pPr>
    </w:p>
    <w:p w:rsidR="001B78D8" w:rsidRDefault="001B78D8" w:rsidP="001B78D8">
      <w:pPr>
        <w:ind w:firstLine="708"/>
        <w:jc w:val="both"/>
        <w:rPr>
          <w:rFonts w:ascii="Times New Roman" w:eastAsia="Calibri" w:hAnsi="Times New Roman" w:cs="Times New Roman"/>
          <w:sz w:val="28"/>
        </w:rPr>
      </w:pPr>
    </w:p>
    <w:p w:rsidR="001B78D8" w:rsidRDefault="001B78D8" w:rsidP="001B78D8">
      <w:pPr>
        <w:ind w:firstLine="708"/>
        <w:jc w:val="both"/>
      </w:pPr>
    </w:p>
    <w:sectPr w:rsidR="001B78D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FFE"/>
    <w:rsid w:val="001219DF"/>
    <w:rsid w:val="001B78D8"/>
    <w:rsid w:val="004B7FFE"/>
    <w:rsid w:val="00753526"/>
    <w:rsid w:val="007E1D6D"/>
    <w:rsid w:val="00E017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3833D"/>
  <w15:chartTrackingRefBased/>
  <w15:docId w15:val="{1027C3E3-4606-4E6A-A686-FEA25CB23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1D6D"/>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7E1D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1743</Words>
  <Characters>994</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Бикова Інна Григорівна</dc:creator>
  <cp:keywords/>
  <dc:description/>
  <cp:lastModifiedBy>Бикова Інна Григорівна</cp:lastModifiedBy>
  <cp:revision>2</cp:revision>
  <cp:lastPrinted>2020-02-06T14:20:00Z</cp:lastPrinted>
  <dcterms:created xsi:type="dcterms:W3CDTF">2020-02-06T14:39:00Z</dcterms:created>
  <dcterms:modified xsi:type="dcterms:W3CDTF">2020-02-06T14:39:00Z</dcterms:modified>
</cp:coreProperties>
</file>