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1C26" w:rsidRPr="00241C26" w:rsidRDefault="00241C26" w:rsidP="00241C26">
      <w:pPr>
        <w:tabs>
          <w:tab w:val="left" w:pos="3450"/>
        </w:tabs>
        <w:spacing w:after="0" w:line="240" w:lineRule="auto"/>
        <w:jc w:val="right"/>
        <w:rPr>
          <w:rFonts w:ascii="Times New Roman" w:eastAsia="Times New Roman" w:hAnsi="Times New Roman" w:cs="Times New Roman"/>
          <w:sz w:val="27"/>
          <w:szCs w:val="27"/>
          <w:lang w:eastAsia="ru-RU"/>
        </w:rPr>
      </w:pPr>
      <w:r w:rsidRPr="00241C26">
        <w:rPr>
          <w:rFonts w:ascii="Times New Roman" w:eastAsia="Times New Roman" w:hAnsi="Times New Roman" w:cs="Times New Roman"/>
          <w:sz w:val="27"/>
          <w:szCs w:val="27"/>
          <w:lang w:eastAsia="ru-RU"/>
        </w:rPr>
        <w:t>До реєстр. № 9331 від 23.11.2018</w:t>
      </w:r>
    </w:p>
    <w:p w:rsidR="00241C26" w:rsidRPr="00241C26" w:rsidRDefault="00241C26" w:rsidP="00241C26">
      <w:pPr>
        <w:tabs>
          <w:tab w:val="left" w:pos="3450"/>
        </w:tabs>
        <w:spacing w:after="0" w:line="240" w:lineRule="auto"/>
        <w:jc w:val="center"/>
        <w:rPr>
          <w:rFonts w:ascii="Times New Roman" w:eastAsia="Times New Roman" w:hAnsi="Times New Roman" w:cs="Times New Roman"/>
          <w:b/>
          <w:sz w:val="27"/>
          <w:szCs w:val="27"/>
          <w:lang w:eastAsia="ru-RU"/>
        </w:rPr>
      </w:pPr>
    </w:p>
    <w:p w:rsidR="00241C26" w:rsidRPr="00241C26" w:rsidRDefault="00241C26" w:rsidP="00241C26">
      <w:pPr>
        <w:spacing w:after="0" w:line="240" w:lineRule="auto"/>
        <w:ind w:firstLine="567"/>
        <w:jc w:val="right"/>
        <w:rPr>
          <w:rFonts w:ascii="Times New Roman" w:eastAsia="Times New Roman" w:hAnsi="Times New Roman" w:cs="Times New Roman"/>
          <w:spacing w:val="-2"/>
          <w:sz w:val="28"/>
          <w:szCs w:val="28"/>
          <w:lang w:eastAsia="ru-RU"/>
        </w:rPr>
      </w:pPr>
    </w:p>
    <w:p w:rsidR="00241C26" w:rsidRPr="00241C26" w:rsidRDefault="00241C26" w:rsidP="00241C26">
      <w:pPr>
        <w:spacing w:after="0" w:line="240" w:lineRule="auto"/>
        <w:ind w:firstLine="567"/>
        <w:jc w:val="right"/>
        <w:rPr>
          <w:rFonts w:ascii="Times New Roman" w:eastAsia="Times New Roman" w:hAnsi="Times New Roman" w:cs="Times New Roman"/>
          <w:spacing w:val="-2"/>
          <w:sz w:val="28"/>
          <w:szCs w:val="28"/>
          <w:lang w:eastAsia="ru-RU"/>
        </w:rPr>
      </w:pPr>
    </w:p>
    <w:p w:rsidR="00241C26" w:rsidRPr="00241C26" w:rsidRDefault="00241C26" w:rsidP="00241C26">
      <w:pPr>
        <w:spacing w:after="0" w:line="240" w:lineRule="auto"/>
        <w:ind w:firstLine="567"/>
        <w:jc w:val="right"/>
        <w:rPr>
          <w:rFonts w:ascii="Times New Roman" w:eastAsia="Times New Roman" w:hAnsi="Times New Roman" w:cs="Times New Roman"/>
          <w:spacing w:val="-2"/>
          <w:sz w:val="28"/>
          <w:szCs w:val="28"/>
          <w:lang w:eastAsia="ru-RU"/>
        </w:rPr>
      </w:pPr>
    </w:p>
    <w:p w:rsidR="00241C26" w:rsidRPr="00241C26" w:rsidRDefault="00241C26" w:rsidP="00241C26">
      <w:pPr>
        <w:spacing w:after="0" w:line="240" w:lineRule="auto"/>
        <w:ind w:firstLine="567"/>
        <w:jc w:val="right"/>
        <w:rPr>
          <w:rFonts w:ascii="Times New Roman" w:eastAsia="Times New Roman" w:hAnsi="Times New Roman" w:cs="Times New Roman"/>
          <w:spacing w:val="-2"/>
          <w:sz w:val="28"/>
          <w:szCs w:val="28"/>
          <w:lang w:eastAsia="ru-RU"/>
        </w:rPr>
      </w:pPr>
    </w:p>
    <w:p w:rsidR="00241C26" w:rsidRPr="00241C26" w:rsidRDefault="00241C26" w:rsidP="00241C26">
      <w:pPr>
        <w:spacing w:after="0" w:line="240" w:lineRule="auto"/>
        <w:ind w:firstLine="567"/>
        <w:jc w:val="right"/>
        <w:rPr>
          <w:rFonts w:ascii="Times New Roman" w:eastAsia="Times New Roman" w:hAnsi="Times New Roman" w:cs="Times New Roman"/>
          <w:spacing w:val="-2"/>
          <w:sz w:val="28"/>
          <w:szCs w:val="28"/>
          <w:lang w:eastAsia="ru-RU"/>
        </w:rPr>
      </w:pPr>
    </w:p>
    <w:p w:rsidR="00241C26" w:rsidRPr="00241C26" w:rsidRDefault="00241C26" w:rsidP="00241C26">
      <w:pPr>
        <w:spacing w:after="0" w:line="240" w:lineRule="auto"/>
        <w:ind w:firstLine="567"/>
        <w:jc w:val="right"/>
        <w:rPr>
          <w:rFonts w:ascii="Times New Roman" w:eastAsia="Times New Roman" w:hAnsi="Times New Roman" w:cs="Times New Roman"/>
          <w:spacing w:val="-2"/>
          <w:sz w:val="28"/>
          <w:szCs w:val="28"/>
          <w:lang w:eastAsia="ru-RU"/>
        </w:rPr>
      </w:pPr>
    </w:p>
    <w:p w:rsidR="00241C26" w:rsidRPr="00241C26" w:rsidRDefault="00241C26" w:rsidP="00241C26">
      <w:pPr>
        <w:spacing w:after="0" w:line="240" w:lineRule="auto"/>
        <w:ind w:firstLine="567"/>
        <w:jc w:val="right"/>
        <w:rPr>
          <w:rFonts w:ascii="Times New Roman" w:eastAsia="Times New Roman" w:hAnsi="Times New Roman" w:cs="Times New Roman"/>
          <w:spacing w:val="-2"/>
          <w:sz w:val="28"/>
          <w:szCs w:val="28"/>
          <w:lang w:eastAsia="ru-RU"/>
        </w:rPr>
      </w:pPr>
    </w:p>
    <w:p w:rsidR="00241C26" w:rsidRPr="00241C26" w:rsidRDefault="00241C26" w:rsidP="00241C26">
      <w:pPr>
        <w:spacing w:after="0" w:line="240" w:lineRule="auto"/>
        <w:ind w:firstLine="567"/>
        <w:jc w:val="right"/>
        <w:rPr>
          <w:rFonts w:ascii="Times New Roman" w:eastAsia="Times New Roman" w:hAnsi="Times New Roman" w:cs="Times New Roman"/>
          <w:spacing w:val="-2"/>
          <w:sz w:val="28"/>
          <w:szCs w:val="28"/>
          <w:lang w:eastAsia="ru-RU"/>
        </w:rPr>
      </w:pPr>
    </w:p>
    <w:p w:rsidR="00241C26" w:rsidRPr="00241C26" w:rsidRDefault="00241C26" w:rsidP="00241C26">
      <w:pPr>
        <w:spacing w:after="0" w:line="240" w:lineRule="auto"/>
        <w:ind w:firstLine="567"/>
        <w:jc w:val="right"/>
        <w:rPr>
          <w:rFonts w:ascii="Times New Roman" w:eastAsia="Times New Roman" w:hAnsi="Times New Roman" w:cs="Times New Roman"/>
          <w:b/>
          <w:spacing w:val="-2"/>
          <w:sz w:val="28"/>
          <w:szCs w:val="28"/>
          <w:lang w:eastAsia="ru-RU"/>
        </w:rPr>
      </w:pPr>
      <w:r w:rsidRPr="00241C26">
        <w:rPr>
          <w:rFonts w:ascii="Times New Roman" w:eastAsia="Times New Roman" w:hAnsi="Times New Roman" w:cs="Times New Roman"/>
          <w:b/>
          <w:spacing w:val="-2"/>
          <w:sz w:val="28"/>
          <w:szCs w:val="28"/>
          <w:lang w:eastAsia="ru-RU"/>
        </w:rPr>
        <w:t>Верховна Рада України</w:t>
      </w:r>
    </w:p>
    <w:p w:rsidR="00241C26" w:rsidRPr="00241C26" w:rsidRDefault="00241C26" w:rsidP="00241C26">
      <w:pPr>
        <w:spacing w:after="0" w:line="240" w:lineRule="auto"/>
        <w:ind w:firstLine="567"/>
        <w:jc w:val="right"/>
        <w:rPr>
          <w:rFonts w:ascii="Times New Roman" w:eastAsia="Times New Roman" w:hAnsi="Times New Roman" w:cs="Times New Roman"/>
          <w:b/>
          <w:spacing w:val="-2"/>
          <w:sz w:val="28"/>
          <w:szCs w:val="28"/>
          <w:lang w:eastAsia="ru-RU"/>
        </w:rPr>
      </w:pPr>
    </w:p>
    <w:p w:rsidR="00241C26" w:rsidRPr="00241C26" w:rsidRDefault="00241C26" w:rsidP="00241C26">
      <w:pPr>
        <w:spacing w:after="0" w:line="240" w:lineRule="auto"/>
        <w:ind w:firstLine="567"/>
        <w:jc w:val="both"/>
        <w:rPr>
          <w:rFonts w:ascii="Times New Roman" w:eastAsia="Times New Roman" w:hAnsi="Times New Roman" w:cs="Times New Roman"/>
          <w:sz w:val="28"/>
          <w:szCs w:val="28"/>
          <w:lang w:eastAsia="ru-RU"/>
        </w:rPr>
      </w:pPr>
      <w:r w:rsidRPr="00241C26">
        <w:rPr>
          <w:rFonts w:ascii="Times New Roman" w:eastAsia="Times New Roman" w:hAnsi="Times New Roman" w:cs="Times New Roman"/>
          <w:sz w:val="28"/>
          <w:szCs w:val="28"/>
          <w:lang w:eastAsia="ru-RU"/>
        </w:rPr>
        <w:t>За дорученнями Голови Верховної Ради України від 26 листопада         2018 року Комітет з питань правової політики та правосуддя розглянув на своєму засіданні 17 січня 2019 року (протокол № 76) проект Закону про внесення змін до Закону України «Про забезпечення прав і свобод громадян та правовий режим на тимчасово окупованій території України» щодо визначення територіальної підсудності судових справ, підсудних розташованим на території Автономної Республіки Крим та міста Севастополя судам, та підслідності кримінальних правопорушень, вчинених на тимчасово окупованій території (реєстр. № 9331 від 23 листопада 2018 року), поданий народними депутатами України Гончаренком О.О., Геращенком А.Ю. та іншими народними депутатами України (далі – Законопроект).</w:t>
      </w:r>
    </w:p>
    <w:p w:rsidR="00241C26" w:rsidRPr="00241C26" w:rsidRDefault="00241C26" w:rsidP="00241C26">
      <w:pPr>
        <w:spacing w:after="0" w:line="240" w:lineRule="auto"/>
        <w:ind w:firstLine="567"/>
        <w:jc w:val="both"/>
        <w:rPr>
          <w:rFonts w:ascii="Times New Roman" w:eastAsia="Times New Roman" w:hAnsi="Times New Roman" w:cs="Times New Roman"/>
          <w:sz w:val="16"/>
          <w:szCs w:val="16"/>
          <w:lang w:eastAsia="ru-RU"/>
        </w:rPr>
      </w:pPr>
    </w:p>
    <w:p w:rsidR="00241C26" w:rsidRPr="00241C26" w:rsidRDefault="00241C26" w:rsidP="00241C26">
      <w:pPr>
        <w:shd w:val="clear" w:color="auto" w:fill="FFFFFF"/>
        <w:spacing w:after="0" w:line="240" w:lineRule="auto"/>
        <w:ind w:firstLine="567"/>
        <w:jc w:val="both"/>
        <w:rPr>
          <w:rFonts w:ascii="Times New Roman" w:eastAsia="Times New Roman" w:hAnsi="Times New Roman" w:cs="Times New Roman"/>
          <w:sz w:val="28"/>
          <w:szCs w:val="28"/>
          <w:lang w:eastAsia="uk-UA"/>
        </w:rPr>
      </w:pPr>
      <w:r w:rsidRPr="00241C26">
        <w:rPr>
          <w:rFonts w:ascii="Times New Roman" w:eastAsia="Times New Roman" w:hAnsi="Times New Roman" w:cs="Times New Roman"/>
          <w:sz w:val="28"/>
          <w:szCs w:val="28"/>
          <w:lang w:eastAsia="ru-RU"/>
        </w:rPr>
        <w:t xml:space="preserve">Згідно із пояснювальною запискою до Законопроекту його </w:t>
      </w:r>
      <w:r w:rsidRPr="00241C26">
        <w:rPr>
          <w:rFonts w:ascii="Times New Roman" w:eastAsia="Times New Roman" w:hAnsi="Times New Roman" w:cs="Times New Roman"/>
          <w:sz w:val="28"/>
          <w:szCs w:val="28"/>
          <w:lang w:eastAsia="uk-UA"/>
        </w:rPr>
        <w:t xml:space="preserve">метою є </w:t>
      </w:r>
      <w:r w:rsidRPr="00241C26">
        <w:rPr>
          <w:rFonts w:ascii="Times New Roman" w:eastAsia="Times New Roman" w:hAnsi="Times New Roman" w:cs="Times New Roman"/>
          <w:bCs/>
          <w:iCs/>
          <w:sz w:val="28"/>
          <w:szCs w:val="28"/>
          <w:lang w:eastAsia="uk-UA"/>
        </w:rPr>
        <w:t xml:space="preserve">приведення до вимог </w:t>
      </w:r>
      <w:r w:rsidRPr="00241C26">
        <w:rPr>
          <w:rFonts w:ascii="Times New Roman" w:eastAsia="Times New Roman" w:hAnsi="Times New Roman" w:cs="Times New Roman"/>
          <w:sz w:val="28"/>
          <w:szCs w:val="28"/>
          <w:lang w:eastAsia="uk-UA"/>
        </w:rPr>
        <w:t xml:space="preserve">указів Президента України щодо ліквідації та створення судів (від 29 грудня 2017 року №№ 452/2017, 453/2017, 454/2017, 455/2017) </w:t>
      </w:r>
      <w:r w:rsidRPr="00241C26">
        <w:rPr>
          <w:rFonts w:ascii="Times New Roman" w:eastAsia="Times New Roman" w:hAnsi="Times New Roman" w:cs="Times New Roman"/>
          <w:bCs/>
          <w:iCs/>
          <w:sz w:val="28"/>
          <w:szCs w:val="28"/>
          <w:lang w:eastAsia="uk-UA"/>
        </w:rPr>
        <w:t xml:space="preserve">та кримінально-процесуального законодавства України норм статті 12 Закону України «Про забезпечення прав і свобод громадян та правовий </w:t>
      </w:r>
      <w:r w:rsidRPr="00241C26">
        <w:rPr>
          <w:rFonts w:ascii="Times New Roman" w:eastAsia="Times New Roman" w:hAnsi="Times New Roman" w:cs="Times New Roman"/>
          <w:sz w:val="28"/>
          <w:szCs w:val="28"/>
          <w:lang w:eastAsia="uk-UA"/>
        </w:rPr>
        <w:t>режим на тимчасово окупованій території України» в частині визначення територіальної підсудності судових справ підсудних розташованим на території Автономної Республіки Крим та міста Севастополя судам та підслідності кримінальних</w:t>
      </w:r>
      <w:r w:rsidRPr="00241C26">
        <w:rPr>
          <w:rFonts w:ascii="Times New Roman" w:eastAsia="Times New Roman" w:hAnsi="Times New Roman" w:cs="Times New Roman"/>
          <w:bCs/>
          <w:iCs/>
          <w:sz w:val="28"/>
          <w:szCs w:val="28"/>
          <w:lang w:eastAsia="uk-UA"/>
        </w:rPr>
        <w:t xml:space="preserve"> правопорушень, вчинених на тимчасово окупованій території.</w:t>
      </w:r>
    </w:p>
    <w:p w:rsidR="00241C26" w:rsidRPr="00241C26" w:rsidRDefault="00241C26" w:rsidP="00241C26">
      <w:pPr>
        <w:shd w:val="clear" w:color="auto" w:fill="FFFFFF"/>
        <w:spacing w:after="0" w:line="240" w:lineRule="auto"/>
        <w:ind w:firstLine="567"/>
        <w:jc w:val="both"/>
        <w:rPr>
          <w:rFonts w:ascii="Times New Roman" w:eastAsia="Times New Roman" w:hAnsi="Times New Roman" w:cs="Times New Roman"/>
          <w:sz w:val="16"/>
          <w:szCs w:val="16"/>
          <w:lang w:eastAsia="ru-RU"/>
        </w:rPr>
      </w:pPr>
    </w:p>
    <w:p w:rsidR="00241C26" w:rsidRPr="00241C26" w:rsidRDefault="00241C26" w:rsidP="00241C26">
      <w:pPr>
        <w:spacing w:after="0" w:line="240" w:lineRule="auto"/>
        <w:ind w:firstLine="567"/>
        <w:jc w:val="both"/>
        <w:rPr>
          <w:rFonts w:ascii="Times New Roman" w:eastAsia="Times New Roman" w:hAnsi="Times New Roman" w:cs="Times New Roman"/>
          <w:sz w:val="28"/>
          <w:szCs w:val="28"/>
          <w:lang w:eastAsia="ru-RU"/>
        </w:rPr>
      </w:pPr>
      <w:r w:rsidRPr="00241C26">
        <w:rPr>
          <w:rFonts w:ascii="Times New Roman" w:eastAsia="Times New Roman" w:hAnsi="Times New Roman" w:cs="Times New Roman"/>
          <w:sz w:val="28"/>
          <w:szCs w:val="28"/>
          <w:lang w:eastAsia="ru-RU"/>
        </w:rPr>
        <w:t>Розглядаючи даний Законопроект, Комітет з питань правової політики та правосуддя виходить з такого.</w:t>
      </w:r>
    </w:p>
    <w:p w:rsidR="00241C26" w:rsidRPr="00241C26" w:rsidRDefault="00241C26" w:rsidP="00241C26">
      <w:pPr>
        <w:spacing w:after="0" w:line="240" w:lineRule="auto"/>
        <w:ind w:firstLine="567"/>
        <w:jc w:val="both"/>
        <w:rPr>
          <w:rFonts w:ascii="Times New Roman" w:eastAsia="Times New Roman" w:hAnsi="Times New Roman" w:cs="Times New Roman"/>
          <w:sz w:val="28"/>
          <w:szCs w:val="28"/>
          <w:lang w:eastAsia="ru-RU"/>
        </w:rPr>
      </w:pPr>
      <w:r w:rsidRPr="00241C26">
        <w:rPr>
          <w:rFonts w:ascii="Times New Roman" w:eastAsia="Times New Roman" w:hAnsi="Times New Roman" w:cs="Times New Roman"/>
          <w:sz w:val="28"/>
          <w:szCs w:val="28"/>
          <w:lang w:eastAsia="ru-RU"/>
        </w:rPr>
        <w:t xml:space="preserve">В Конституції України зазначається, що Україна є правовою державою (стаття 1), органи законодавчої, виконавчої та судової влади здійснюють свої повноваження у встановлених цією Конституцією межах і відповідно до законів України (частина друга статті 6), закони та інші нормативно-правові акти приймаються на основі Конституції України і повинні відповідати їй (частина друга статті 8), права і свободи людини і громадянина, гарантії цих прав і свобод, судоустрій, судочинство, організація і діяльність прокуратури, органів досудового розслідування, органів і установ виконання покарань визначаються виключно законом України (пункти 1, 14 частини першої </w:t>
      </w:r>
      <w:r>
        <w:rPr>
          <w:rFonts w:ascii="Times New Roman" w:eastAsia="Times New Roman" w:hAnsi="Times New Roman" w:cs="Times New Roman"/>
          <w:sz w:val="28"/>
          <w:szCs w:val="28"/>
          <w:lang w:eastAsia="ru-RU"/>
        </w:rPr>
        <w:t xml:space="preserve">      </w:t>
      </w:r>
      <w:r w:rsidRPr="00241C26">
        <w:rPr>
          <w:rFonts w:ascii="Times New Roman" w:eastAsia="Times New Roman" w:hAnsi="Times New Roman" w:cs="Times New Roman"/>
          <w:sz w:val="28"/>
          <w:szCs w:val="28"/>
          <w:lang w:eastAsia="ru-RU"/>
        </w:rPr>
        <w:t xml:space="preserve">статті 92). </w:t>
      </w:r>
    </w:p>
    <w:p w:rsidR="00241C26" w:rsidRPr="00241C26" w:rsidRDefault="00241C26" w:rsidP="00241C26">
      <w:pPr>
        <w:spacing w:after="0" w:line="240" w:lineRule="auto"/>
        <w:ind w:firstLine="567"/>
        <w:jc w:val="both"/>
        <w:rPr>
          <w:rFonts w:ascii="Times New Roman" w:eastAsia="Times New Roman" w:hAnsi="Times New Roman" w:cs="Times New Roman"/>
          <w:sz w:val="28"/>
          <w:szCs w:val="28"/>
          <w:lang w:eastAsia="ru-RU"/>
        </w:rPr>
      </w:pPr>
      <w:r w:rsidRPr="00241C26">
        <w:rPr>
          <w:rFonts w:ascii="Times New Roman" w:eastAsia="Times New Roman" w:hAnsi="Times New Roman" w:cs="Times New Roman"/>
          <w:sz w:val="28"/>
          <w:szCs w:val="28"/>
          <w:lang w:eastAsia="ru-RU"/>
        </w:rPr>
        <w:lastRenderedPageBreak/>
        <w:t>Прийняття законів належить до повноважень Верховної Ради України як єдиного органу законодавчої влади в Україні (стаття 75, пункт 3 частини першої статті 85 Конституції України).</w:t>
      </w:r>
    </w:p>
    <w:p w:rsidR="00241C26" w:rsidRDefault="00241C26" w:rsidP="00241C26">
      <w:pPr>
        <w:shd w:val="clear" w:color="auto" w:fill="FFFFFF"/>
        <w:spacing w:after="0" w:line="240" w:lineRule="auto"/>
        <w:ind w:firstLine="567"/>
        <w:jc w:val="both"/>
        <w:rPr>
          <w:rFonts w:ascii="Times New Roman" w:eastAsia="Times New Roman" w:hAnsi="Times New Roman" w:cs="Times New Roman"/>
          <w:sz w:val="28"/>
          <w:szCs w:val="28"/>
          <w:lang w:eastAsia="ru-RU"/>
        </w:rPr>
      </w:pPr>
    </w:p>
    <w:p w:rsidR="00241C26" w:rsidRPr="00241C26" w:rsidRDefault="00241C26" w:rsidP="00241C26">
      <w:pPr>
        <w:shd w:val="clear" w:color="auto" w:fill="FFFFFF"/>
        <w:spacing w:after="0" w:line="240" w:lineRule="auto"/>
        <w:ind w:firstLine="567"/>
        <w:jc w:val="both"/>
        <w:rPr>
          <w:rFonts w:ascii="Times New Roman" w:eastAsia="Times New Roman" w:hAnsi="Times New Roman" w:cs="Times New Roman"/>
          <w:bCs/>
          <w:iCs/>
          <w:sz w:val="28"/>
          <w:szCs w:val="28"/>
          <w:lang w:eastAsia="ru-RU"/>
        </w:rPr>
      </w:pPr>
      <w:r w:rsidRPr="00241C26">
        <w:rPr>
          <w:rFonts w:ascii="Times New Roman" w:eastAsia="Times New Roman" w:hAnsi="Times New Roman" w:cs="Times New Roman"/>
          <w:sz w:val="28"/>
          <w:szCs w:val="28"/>
          <w:lang w:eastAsia="ru-RU"/>
        </w:rPr>
        <w:t xml:space="preserve">Законопроектом пропонується </w:t>
      </w:r>
      <w:proofErr w:type="spellStart"/>
      <w:r w:rsidRPr="00241C26">
        <w:rPr>
          <w:rFonts w:ascii="Times New Roman" w:eastAsia="Times New Roman" w:hAnsi="Times New Roman" w:cs="Times New Roman"/>
          <w:sz w:val="28"/>
          <w:szCs w:val="28"/>
          <w:lang w:eastAsia="ru-RU"/>
        </w:rPr>
        <w:t>внести</w:t>
      </w:r>
      <w:proofErr w:type="spellEnd"/>
      <w:r w:rsidRPr="00241C26">
        <w:rPr>
          <w:rFonts w:ascii="Times New Roman" w:eastAsia="Times New Roman" w:hAnsi="Times New Roman" w:cs="Times New Roman"/>
          <w:sz w:val="28"/>
          <w:szCs w:val="28"/>
          <w:lang w:eastAsia="ru-RU"/>
        </w:rPr>
        <w:t xml:space="preserve"> зміни до </w:t>
      </w:r>
      <w:r w:rsidRPr="00241C26">
        <w:rPr>
          <w:rFonts w:ascii="Times New Roman" w:eastAsia="Times New Roman" w:hAnsi="Times New Roman" w:cs="Times New Roman"/>
          <w:bCs/>
          <w:iCs/>
          <w:sz w:val="28"/>
          <w:szCs w:val="28"/>
          <w:lang w:eastAsia="ru-RU"/>
        </w:rPr>
        <w:t xml:space="preserve">частин першої та другої статті 12 </w:t>
      </w:r>
      <w:r w:rsidRPr="00241C26">
        <w:rPr>
          <w:rFonts w:ascii="Times New Roman" w:eastAsia="Times New Roman" w:hAnsi="Times New Roman" w:cs="Times New Roman"/>
          <w:sz w:val="28"/>
          <w:szCs w:val="28"/>
          <w:lang w:eastAsia="ru-RU"/>
        </w:rPr>
        <w:t>Закону України «Про забезпечення прав і свобод громадян та правовий режим на тимчасово окупованій території України» (далі – Закону)</w:t>
      </w:r>
      <w:r w:rsidRPr="00241C26">
        <w:rPr>
          <w:rFonts w:ascii="Times New Roman" w:eastAsia="Times New Roman" w:hAnsi="Times New Roman" w:cs="Times New Roman"/>
          <w:bCs/>
          <w:iCs/>
          <w:sz w:val="28"/>
          <w:szCs w:val="28"/>
          <w:lang w:eastAsia="ru-RU"/>
        </w:rPr>
        <w:t>,</w:t>
      </w:r>
      <w:r w:rsidRPr="00241C26">
        <w:rPr>
          <w:rFonts w:ascii="Times New Roman" w:eastAsia="Times New Roman" w:hAnsi="Times New Roman" w:cs="Times New Roman"/>
          <w:bCs/>
          <w:iCs/>
          <w:sz w:val="28"/>
          <w:szCs w:val="28"/>
          <w:lang w:val="ru-RU" w:eastAsia="ru-RU"/>
        </w:rPr>
        <w:t xml:space="preserve"> </w:t>
      </w:r>
      <w:r w:rsidRPr="00241C26">
        <w:rPr>
          <w:rFonts w:ascii="Times New Roman" w:eastAsia="Times New Roman" w:hAnsi="Times New Roman" w:cs="Times New Roman"/>
          <w:sz w:val="28"/>
          <w:szCs w:val="28"/>
          <w:lang w:eastAsia="ru-RU"/>
        </w:rPr>
        <w:t>замінивши назви ліквідованих судів на новостворені відповідно до вищеназв</w:t>
      </w:r>
      <w:r w:rsidR="00384AEA">
        <w:rPr>
          <w:rFonts w:ascii="Times New Roman" w:eastAsia="Times New Roman" w:hAnsi="Times New Roman" w:cs="Times New Roman"/>
          <w:sz w:val="28"/>
          <w:szCs w:val="28"/>
          <w:lang w:eastAsia="ru-RU"/>
        </w:rPr>
        <w:t>аних указів Президента України.</w:t>
      </w:r>
    </w:p>
    <w:p w:rsidR="00241C26" w:rsidRPr="00241C26" w:rsidRDefault="00241C26" w:rsidP="00241C26">
      <w:pPr>
        <w:spacing w:after="0" w:line="240" w:lineRule="auto"/>
        <w:ind w:firstLine="540"/>
        <w:jc w:val="both"/>
        <w:rPr>
          <w:rFonts w:ascii="Times New Roman" w:eastAsia="Times New Roman" w:hAnsi="Times New Roman" w:cs="Times New Roman"/>
          <w:sz w:val="28"/>
          <w:szCs w:val="28"/>
          <w:lang w:eastAsia="uk-UA"/>
        </w:rPr>
      </w:pPr>
      <w:r w:rsidRPr="00241C26">
        <w:rPr>
          <w:rFonts w:ascii="Times New Roman" w:eastAsia="Calibri" w:hAnsi="Times New Roman" w:cs="Times New Roman"/>
          <w:sz w:val="28"/>
          <w:szCs w:val="28"/>
          <w:lang w:eastAsia="ru-RU"/>
        </w:rPr>
        <w:t xml:space="preserve">Після ліквідації та створення судів, що здійснено згідно із зазначеними вище </w:t>
      </w:r>
      <w:r w:rsidRPr="00241C26">
        <w:rPr>
          <w:rFonts w:ascii="Times New Roman" w:eastAsia="Times New Roman" w:hAnsi="Times New Roman" w:cs="Times New Roman"/>
          <w:sz w:val="28"/>
          <w:szCs w:val="28"/>
          <w:lang w:eastAsia="uk-UA"/>
        </w:rPr>
        <w:t xml:space="preserve">указами Президента України, змін до </w:t>
      </w:r>
      <w:r w:rsidRPr="00241C26">
        <w:rPr>
          <w:rFonts w:ascii="Times New Roman" w:eastAsia="Times New Roman" w:hAnsi="Times New Roman" w:cs="Times New Roman"/>
          <w:bCs/>
          <w:iCs/>
          <w:sz w:val="28"/>
          <w:szCs w:val="28"/>
          <w:lang w:eastAsia="uk-UA"/>
        </w:rPr>
        <w:t xml:space="preserve">Закону </w:t>
      </w:r>
      <w:r w:rsidRPr="00241C26">
        <w:rPr>
          <w:rFonts w:ascii="Times New Roman" w:eastAsia="Times New Roman" w:hAnsi="Times New Roman" w:cs="Times New Roman"/>
          <w:sz w:val="28"/>
          <w:szCs w:val="28"/>
          <w:lang w:eastAsia="uk-UA"/>
        </w:rPr>
        <w:t xml:space="preserve">в частині визначення територіальної підсудності судових справ, підсудних розташованим на території Автономної Республіки Крим та міста Севастополя судам, </w:t>
      </w:r>
      <w:proofErr w:type="spellStart"/>
      <w:r w:rsidRPr="00241C26">
        <w:rPr>
          <w:rFonts w:ascii="Times New Roman" w:eastAsia="Times New Roman" w:hAnsi="Times New Roman" w:cs="Times New Roman"/>
          <w:sz w:val="28"/>
          <w:szCs w:val="28"/>
          <w:lang w:eastAsia="uk-UA"/>
        </w:rPr>
        <w:t>внесено</w:t>
      </w:r>
      <w:proofErr w:type="spellEnd"/>
      <w:r w:rsidRPr="00241C26">
        <w:rPr>
          <w:rFonts w:ascii="Times New Roman" w:eastAsia="Times New Roman" w:hAnsi="Times New Roman" w:cs="Times New Roman"/>
          <w:sz w:val="28"/>
          <w:szCs w:val="28"/>
          <w:lang w:eastAsia="uk-UA"/>
        </w:rPr>
        <w:t xml:space="preserve"> не було.</w:t>
      </w:r>
    </w:p>
    <w:p w:rsidR="00241C26" w:rsidRPr="00241C26" w:rsidRDefault="00241C26" w:rsidP="00241C26">
      <w:pPr>
        <w:spacing w:after="0" w:line="240" w:lineRule="auto"/>
        <w:ind w:firstLine="540"/>
        <w:jc w:val="both"/>
        <w:rPr>
          <w:rFonts w:ascii="Times New Roman" w:eastAsia="Calibri" w:hAnsi="Times New Roman" w:cs="Times New Roman"/>
          <w:sz w:val="28"/>
          <w:szCs w:val="28"/>
          <w:lang w:eastAsia="ru-RU"/>
        </w:rPr>
      </w:pPr>
      <w:r w:rsidRPr="00241C26">
        <w:rPr>
          <w:rFonts w:ascii="Times New Roman" w:eastAsia="Calibri" w:hAnsi="Times New Roman" w:cs="Times New Roman"/>
          <w:sz w:val="28"/>
          <w:szCs w:val="28"/>
          <w:lang w:eastAsia="ru-RU"/>
        </w:rPr>
        <w:t>Наразі склалась ситуація, коли відсутні правові підстави звертатись в новостворені суди для здійснення правосуддя або визначення ними суду, який буде здійснювати правосуддя у відповідних категоріях справ.</w:t>
      </w:r>
    </w:p>
    <w:p w:rsidR="00241C26" w:rsidRPr="00241C26" w:rsidRDefault="00241C26" w:rsidP="00241C26">
      <w:pPr>
        <w:shd w:val="clear" w:color="auto" w:fill="FFFFFF"/>
        <w:spacing w:after="0" w:line="240" w:lineRule="auto"/>
        <w:ind w:firstLine="567"/>
        <w:jc w:val="both"/>
        <w:rPr>
          <w:rFonts w:ascii="Times New Roman" w:eastAsia="Times New Roman" w:hAnsi="Times New Roman" w:cs="Times New Roman"/>
          <w:bCs/>
          <w:iCs/>
          <w:sz w:val="28"/>
          <w:szCs w:val="28"/>
          <w:lang w:eastAsia="ru-RU"/>
        </w:rPr>
      </w:pPr>
      <w:r w:rsidRPr="00241C26">
        <w:rPr>
          <w:rFonts w:ascii="Times New Roman" w:eastAsia="Times New Roman" w:hAnsi="Times New Roman" w:cs="Times New Roman"/>
          <w:sz w:val="28"/>
          <w:szCs w:val="28"/>
          <w:lang w:eastAsia="ru-RU"/>
        </w:rPr>
        <w:t xml:space="preserve">Крім того, Законопроектом передбачається </w:t>
      </w:r>
      <w:r w:rsidRPr="00241C26">
        <w:rPr>
          <w:rFonts w:ascii="Times New Roman" w:eastAsia="Times New Roman" w:hAnsi="Times New Roman" w:cs="Times New Roman"/>
          <w:bCs/>
          <w:iCs/>
          <w:sz w:val="28"/>
          <w:szCs w:val="28"/>
          <w:lang w:eastAsia="ru-RU"/>
        </w:rPr>
        <w:t xml:space="preserve">визначити підслідність кримінальних правопорушень, вчинених на тимчасово окупованій території, в загальному порядку, визначеному </w:t>
      </w:r>
      <w:r w:rsidRPr="00241C26">
        <w:rPr>
          <w:rFonts w:ascii="Times New Roman" w:eastAsia="SimSun" w:hAnsi="Times New Roman" w:cs="Mangal"/>
          <w:bCs/>
          <w:iCs/>
          <w:kern w:val="1"/>
          <w:sz w:val="28"/>
          <w:szCs w:val="28"/>
          <w:lang w:eastAsia="hi-IN" w:bidi="hi-IN"/>
        </w:rPr>
        <w:t>Кримінальним процесуальним кодексом України</w:t>
      </w:r>
      <w:r w:rsidRPr="00241C26">
        <w:rPr>
          <w:rFonts w:ascii="Times New Roman" w:eastAsia="Times New Roman" w:hAnsi="Times New Roman" w:cs="Times New Roman"/>
          <w:bCs/>
          <w:iCs/>
          <w:sz w:val="28"/>
          <w:szCs w:val="28"/>
          <w:lang w:eastAsia="ru-RU"/>
        </w:rPr>
        <w:t>.</w:t>
      </w:r>
    </w:p>
    <w:p w:rsidR="00241C26" w:rsidRPr="00241C26" w:rsidRDefault="00241C26" w:rsidP="00241C26">
      <w:pPr>
        <w:widowControl w:val="0"/>
        <w:suppressAutoHyphens/>
        <w:spacing w:after="0" w:line="240" w:lineRule="auto"/>
        <w:ind w:firstLine="567"/>
        <w:jc w:val="both"/>
        <w:rPr>
          <w:rFonts w:ascii="Times New Roman" w:eastAsia="SimSun" w:hAnsi="Times New Roman" w:cs="Mangal"/>
          <w:bCs/>
          <w:iCs/>
          <w:kern w:val="1"/>
          <w:sz w:val="28"/>
          <w:szCs w:val="28"/>
          <w:lang w:eastAsia="hi-IN" w:bidi="hi-IN"/>
        </w:rPr>
      </w:pPr>
      <w:r w:rsidRPr="00241C26">
        <w:rPr>
          <w:rFonts w:ascii="Times New Roman" w:eastAsia="SimSun" w:hAnsi="Times New Roman" w:cs="Mangal"/>
          <w:bCs/>
          <w:iCs/>
          <w:kern w:val="1"/>
          <w:sz w:val="28"/>
          <w:szCs w:val="28"/>
          <w:lang w:eastAsia="hi-IN" w:bidi="hi-IN"/>
        </w:rPr>
        <w:t>Згідно із Законом підслідність кримінальних правопорушень, вчинених на тимчасово окупованій території, визначається Генеральною прокуратурою України. Однак, після відтворення та початку функціонування прокуратури Автономної Республіки Крим (в місті Києві), Головного управління Національної поліції в АР Крим та місті Севастополі (в місті Одесі) та Головного управління Служби безпеки України в АР Крим (в місті Херсоні) існуючий наразі спеціальний порядок визначення підслідності втратив свою актуальність.</w:t>
      </w:r>
    </w:p>
    <w:p w:rsidR="00241C26" w:rsidRPr="00241C26" w:rsidRDefault="00241C26" w:rsidP="00241C26">
      <w:pPr>
        <w:spacing w:after="0" w:line="240" w:lineRule="auto"/>
        <w:ind w:firstLine="567"/>
        <w:jc w:val="both"/>
        <w:rPr>
          <w:rFonts w:ascii="Times New Roman" w:eastAsia="Calibri" w:hAnsi="Times New Roman" w:cs="Times New Roman"/>
          <w:sz w:val="28"/>
          <w:szCs w:val="28"/>
          <w:lang w:eastAsia="ru-RU"/>
        </w:rPr>
      </w:pPr>
      <w:r w:rsidRPr="00241C26">
        <w:rPr>
          <w:rFonts w:ascii="Times New Roman" w:eastAsia="Calibri" w:hAnsi="Times New Roman" w:cs="Times New Roman"/>
          <w:sz w:val="28"/>
          <w:szCs w:val="28"/>
          <w:lang w:eastAsia="ru-RU"/>
        </w:rPr>
        <w:t>Слід зазначити, що відповідно до частини першої статті 8 Конституції України в Україні визнається і діє принцип верховенства права. Складовою верховенства права є принцип правової визначеності, основу якого утворює ідея передбачуваності (</w:t>
      </w:r>
      <w:proofErr w:type="spellStart"/>
      <w:r w:rsidRPr="00241C26">
        <w:rPr>
          <w:rFonts w:ascii="Times New Roman" w:eastAsia="Calibri" w:hAnsi="Times New Roman" w:cs="Times New Roman"/>
          <w:sz w:val="28"/>
          <w:szCs w:val="28"/>
          <w:lang w:eastAsia="ru-RU"/>
        </w:rPr>
        <w:t>очікуваності</w:t>
      </w:r>
      <w:proofErr w:type="spellEnd"/>
      <w:r w:rsidRPr="00241C26">
        <w:rPr>
          <w:rFonts w:ascii="Times New Roman" w:eastAsia="Calibri" w:hAnsi="Times New Roman" w:cs="Times New Roman"/>
          <w:sz w:val="28"/>
          <w:szCs w:val="28"/>
          <w:lang w:eastAsia="ru-RU"/>
        </w:rPr>
        <w:t xml:space="preserve">) суб’єктом відносин визначених правових наслідків (правового результату) своєї поведінки, яка відповідає наявним у суспільстві нормативним приписам. </w:t>
      </w:r>
    </w:p>
    <w:p w:rsidR="00241C26" w:rsidRPr="00241C26" w:rsidRDefault="00241C26" w:rsidP="00241C26">
      <w:pPr>
        <w:spacing w:after="0" w:line="240" w:lineRule="auto"/>
        <w:ind w:firstLine="567"/>
        <w:jc w:val="both"/>
        <w:rPr>
          <w:rFonts w:ascii="Times New Roman" w:eastAsia="Calibri" w:hAnsi="Times New Roman" w:cs="Times New Roman"/>
          <w:sz w:val="28"/>
          <w:szCs w:val="28"/>
          <w:lang w:eastAsia="ru-RU"/>
        </w:rPr>
      </w:pPr>
      <w:r w:rsidRPr="00241C26">
        <w:rPr>
          <w:rFonts w:ascii="Times New Roman" w:eastAsia="Calibri" w:hAnsi="Times New Roman" w:cs="Times New Roman"/>
          <w:sz w:val="28"/>
          <w:szCs w:val="28"/>
          <w:lang w:eastAsia="ru-RU"/>
        </w:rPr>
        <w:t>Принцип правової визначеності вимагає ясності й однозначності правової норми та забезпечення того, щоб ситуації та правовідносини залишалися передбачуваними (правові позиції Конституційного Суду України у рішеннях від 22 вересня 2005 року № 5-рп/2005, від 29 червня 2010 року № 17-рп/2010, від 22 грудня 2010 року № 23-рп/2010, від 11 жовтня 2011 року № 10-рп/2011, від 20 грудня 2017 року № 2-р/2017).</w:t>
      </w:r>
    </w:p>
    <w:p w:rsidR="00241C26" w:rsidRDefault="00241C26" w:rsidP="00241C26">
      <w:pPr>
        <w:spacing w:after="0" w:line="240" w:lineRule="auto"/>
        <w:ind w:firstLine="567"/>
        <w:jc w:val="both"/>
        <w:rPr>
          <w:rFonts w:ascii="Times New Roman" w:hAnsi="Times New Roman" w:cs="Times New Roman"/>
          <w:sz w:val="28"/>
          <w:szCs w:val="28"/>
          <w:lang w:eastAsia="ru-RU"/>
        </w:rPr>
      </w:pPr>
    </w:p>
    <w:p w:rsidR="00241C26" w:rsidRDefault="00241C26" w:rsidP="00241C26">
      <w:pPr>
        <w:spacing w:after="0" w:line="240" w:lineRule="auto"/>
        <w:ind w:firstLine="567"/>
        <w:jc w:val="both"/>
        <w:rPr>
          <w:rFonts w:ascii="Times New Roman" w:hAnsi="Times New Roman" w:cs="Times New Roman"/>
          <w:sz w:val="28"/>
          <w:szCs w:val="28"/>
          <w:lang w:eastAsia="ru-RU"/>
        </w:rPr>
      </w:pPr>
    </w:p>
    <w:p w:rsidR="00241C26" w:rsidRPr="00241C26" w:rsidRDefault="00241C26" w:rsidP="00241C26">
      <w:pPr>
        <w:spacing w:after="0" w:line="240" w:lineRule="auto"/>
        <w:ind w:firstLine="567"/>
        <w:jc w:val="both"/>
        <w:rPr>
          <w:rFonts w:ascii="Times New Roman" w:hAnsi="Times New Roman" w:cs="Times New Roman"/>
          <w:sz w:val="28"/>
          <w:szCs w:val="28"/>
          <w:lang w:eastAsia="ru-RU"/>
        </w:rPr>
      </w:pPr>
      <w:r w:rsidRPr="00241C26">
        <w:rPr>
          <w:rFonts w:ascii="Times New Roman" w:hAnsi="Times New Roman" w:cs="Times New Roman"/>
          <w:sz w:val="28"/>
          <w:szCs w:val="28"/>
          <w:lang w:eastAsia="ru-RU"/>
        </w:rPr>
        <w:lastRenderedPageBreak/>
        <w:t xml:space="preserve">Зокрема, відповідно до рішення Конституційного Суду України від           22 вересня 2005 року № 5-рп/2005 «із конституційних принципів рівності і справедливості випливає вимога визначеності, ясності і недвозначності правової норми, оскільки інше не може забезпечити її однакове застосування, не виключає необмеженості трактування у правозастосовній практиці і неминуче призводить до сваволі» (абзац другий підпункту 5.4 пункту 5 мотивувальної частини). </w:t>
      </w:r>
    </w:p>
    <w:p w:rsidR="00241C26" w:rsidRPr="00241C26" w:rsidRDefault="00241C26" w:rsidP="00241C26">
      <w:pPr>
        <w:autoSpaceDE w:val="0"/>
        <w:autoSpaceDN w:val="0"/>
        <w:spacing w:after="0" w:line="240" w:lineRule="auto"/>
        <w:ind w:firstLine="567"/>
        <w:jc w:val="both"/>
        <w:rPr>
          <w:rFonts w:ascii="Times New Roman" w:hAnsi="Times New Roman" w:cs="Times New Roman"/>
          <w:sz w:val="28"/>
          <w:szCs w:val="28"/>
        </w:rPr>
      </w:pPr>
      <w:r w:rsidRPr="00241C26">
        <w:rPr>
          <w:rFonts w:ascii="Times New Roman" w:hAnsi="Times New Roman" w:cs="Times New Roman"/>
          <w:sz w:val="28"/>
          <w:szCs w:val="28"/>
        </w:rPr>
        <w:t>Такий підхід узгоджується з практикою Європейського суду з прав людини (далі - ЄСПЛ). Про те, що принцип правової визначеності є складовою верховенства права, йдеться в рішенні ЄСПЛ від 28 жовтня 1999 року у справі «</w:t>
      </w:r>
      <w:proofErr w:type="spellStart"/>
      <w:r w:rsidRPr="00241C26">
        <w:rPr>
          <w:rFonts w:ascii="Times New Roman" w:hAnsi="Times New Roman" w:cs="Times New Roman"/>
          <w:sz w:val="28"/>
          <w:szCs w:val="28"/>
        </w:rPr>
        <w:t>Брумареску</w:t>
      </w:r>
      <w:proofErr w:type="spellEnd"/>
      <w:r w:rsidRPr="00241C26">
        <w:rPr>
          <w:rFonts w:ascii="Times New Roman" w:hAnsi="Times New Roman" w:cs="Times New Roman"/>
          <w:sz w:val="28"/>
          <w:szCs w:val="28"/>
        </w:rPr>
        <w:t xml:space="preserve"> проти Румунії» (пункт 61). У рішенні від 13 грудня 2001 року у справі «Церква </w:t>
      </w:r>
      <w:proofErr w:type="spellStart"/>
      <w:r w:rsidRPr="00241C26">
        <w:rPr>
          <w:rFonts w:ascii="Times New Roman" w:hAnsi="Times New Roman" w:cs="Times New Roman"/>
          <w:sz w:val="28"/>
          <w:szCs w:val="28"/>
        </w:rPr>
        <w:t>Бесарабської</w:t>
      </w:r>
      <w:proofErr w:type="spellEnd"/>
      <w:r w:rsidRPr="00241C26">
        <w:rPr>
          <w:rFonts w:ascii="Times New Roman" w:hAnsi="Times New Roman" w:cs="Times New Roman"/>
          <w:sz w:val="28"/>
          <w:szCs w:val="28"/>
        </w:rPr>
        <w:t xml:space="preserve"> Митрополії проти Молдови» ЄСПЛ зазначив, що закон має бути доступним та передбачуваним, тобто вираженим із достатньою точністю, щоб дати змогу особі в разі необхідності регулювати його положеннями свою поведінку (пункт 109).</w:t>
      </w:r>
    </w:p>
    <w:p w:rsidR="00241C26" w:rsidRPr="00241C26" w:rsidRDefault="00241C26" w:rsidP="00241C26">
      <w:pPr>
        <w:autoSpaceDE w:val="0"/>
        <w:autoSpaceDN w:val="0"/>
        <w:spacing w:after="0" w:line="240" w:lineRule="auto"/>
        <w:ind w:firstLine="567"/>
        <w:jc w:val="both"/>
        <w:rPr>
          <w:rFonts w:ascii="Times New Roman" w:hAnsi="Times New Roman" w:cs="Times New Roman"/>
          <w:sz w:val="28"/>
          <w:szCs w:val="28"/>
        </w:rPr>
      </w:pPr>
      <w:r w:rsidRPr="00241C26">
        <w:rPr>
          <w:rFonts w:ascii="Times New Roman" w:hAnsi="Times New Roman" w:cs="Times New Roman"/>
          <w:sz w:val="28"/>
          <w:szCs w:val="28"/>
          <w:lang w:eastAsia="uk-UA"/>
        </w:rPr>
        <w:t>Крім того, позицію Конституційного Суду України поділяє Європейська Комісія «За демократію через право» (Венеційська комісія), яка у схваленій на 86-му пленарному засіданні (Венеція, 25-26 березня 2011 року) (CDL-AD(2011)003rev) Доповіді «Верховенство права» відзначила, що ю</w:t>
      </w:r>
      <w:r w:rsidRPr="00241C26">
        <w:rPr>
          <w:rFonts w:ascii="Times New Roman" w:hAnsi="Times New Roman" w:cs="Times New Roman"/>
          <w:sz w:val="28"/>
          <w:szCs w:val="28"/>
        </w:rPr>
        <w:t>ридична визначеність вимагає, щоб юридичні норми були чіткими і точними та спрямованими на забезпечення того, щоб ситуації та правовідносини залишались передбачуваними (пункт 46 Доповіді).</w:t>
      </w:r>
    </w:p>
    <w:p w:rsidR="00241C26" w:rsidRPr="00241C26" w:rsidRDefault="00241C26" w:rsidP="00241C26">
      <w:pPr>
        <w:autoSpaceDE w:val="0"/>
        <w:autoSpaceDN w:val="0"/>
        <w:spacing w:after="0" w:line="240" w:lineRule="auto"/>
        <w:ind w:firstLine="567"/>
        <w:jc w:val="both"/>
        <w:rPr>
          <w:rFonts w:ascii="Times New Roman" w:hAnsi="Times New Roman"/>
          <w:bCs/>
          <w:sz w:val="28"/>
          <w:szCs w:val="28"/>
        </w:rPr>
      </w:pPr>
      <w:r w:rsidRPr="00241C26">
        <w:rPr>
          <w:rFonts w:ascii="Times New Roman" w:eastAsia="Times New Roman" w:hAnsi="Times New Roman" w:cs="Times New Roman"/>
          <w:sz w:val="28"/>
          <w:szCs w:val="28"/>
          <w:lang w:eastAsia="ru-RU"/>
        </w:rPr>
        <w:t xml:space="preserve">Відповідно до висновку Головного науково-експертного управління Апарату Верховної Ради України за результатами розгляду у першому читанні законопроект доцільно повернути суб’єкта права законодавчої ініціативи на доопрацювання. Погоджуючись із запропонованими змінами, дане Управління з приводу визначення підслідності кримінальних правопорушень зауважує, що </w:t>
      </w:r>
      <w:r w:rsidRPr="00241C26">
        <w:rPr>
          <w:rFonts w:ascii="Times New Roman" w:hAnsi="Times New Roman"/>
          <w:sz w:val="28"/>
          <w:szCs w:val="28"/>
        </w:rPr>
        <w:t>на сьогодні тимчасово окупованими визнані як території, визначені в статті 3 Закону України</w:t>
      </w:r>
      <w:r w:rsidRPr="00241C26">
        <w:rPr>
          <w:sz w:val="28"/>
          <w:szCs w:val="28"/>
        </w:rPr>
        <w:t xml:space="preserve"> </w:t>
      </w:r>
      <w:r w:rsidRPr="00241C26">
        <w:rPr>
          <w:rFonts w:ascii="Times New Roman" w:hAnsi="Times New Roman"/>
          <w:sz w:val="28"/>
          <w:szCs w:val="28"/>
        </w:rPr>
        <w:t>«Про забезпечення прав і свобод громадян та правовий режим на тимчасово окупованій території України», так і території, зазначені в статті 1 Закону України «Про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 Тому більш доцільним законодавчим кроком було б одночасне врегулювання питання підслідності кримінальних правопорушень, вчинених на тимчасово окупованих територіях</w:t>
      </w:r>
      <w:r w:rsidRPr="00241C26">
        <w:rPr>
          <w:rFonts w:ascii="Times New Roman" w:hAnsi="Times New Roman"/>
          <w:bCs/>
          <w:sz w:val="28"/>
          <w:szCs w:val="28"/>
        </w:rPr>
        <w:t xml:space="preserve">, визначених </w:t>
      </w:r>
      <w:r w:rsidRPr="00241C26">
        <w:rPr>
          <w:rFonts w:ascii="Times New Roman" w:hAnsi="Times New Roman"/>
          <w:sz w:val="28"/>
          <w:szCs w:val="28"/>
        </w:rPr>
        <w:t>в Законі України «Про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w:t>
      </w:r>
      <w:r w:rsidRPr="00241C26">
        <w:rPr>
          <w:rFonts w:ascii="Times New Roman" w:hAnsi="Times New Roman"/>
          <w:bCs/>
          <w:sz w:val="28"/>
          <w:szCs w:val="28"/>
        </w:rPr>
        <w:t xml:space="preserve">. </w:t>
      </w:r>
    </w:p>
    <w:p w:rsidR="00241C26" w:rsidRPr="00241C26" w:rsidRDefault="00241C26" w:rsidP="00241C26">
      <w:pPr>
        <w:autoSpaceDE w:val="0"/>
        <w:autoSpaceDN w:val="0"/>
        <w:spacing w:after="0" w:line="240" w:lineRule="auto"/>
        <w:ind w:firstLine="567"/>
        <w:jc w:val="both"/>
        <w:rPr>
          <w:rFonts w:ascii="Times New Roman" w:hAnsi="Times New Roman"/>
          <w:bCs/>
          <w:sz w:val="28"/>
          <w:szCs w:val="28"/>
        </w:rPr>
      </w:pPr>
      <w:r w:rsidRPr="00241C26">
        <w:rPr>
          <w:rFonts w:ascii="Times New Roman" w:hAnsi="Times New Roman"/>
          <w:bCs/>
          <w:sz w:val="28"/>
          <w:szCs w:val="28"/>
        </w:rPr>
        <w:t>Крім того, даний Законопроект слід розглядати одночасно з проектом Закону про внесення змін до Закону України «Про забезпечення прав і свобод громадян та правовий режим на тимчасово окупованій території України» щодо визначення підслідності кримінальних правопорушень, вчинених на тимчасово окупованій території (реєстр. №  8577 від 09 липня 2018 року), який спрямований на врегулювання тотожних питань.</w:t>
      </w:r>
    </w:p>
    <w:p w:rsidR="00241C26" w:rsidRDefault="00241C26" w:rsidP="00241C26">
      <w:pPr>
        <w:spacing w:after="0" w:line="240" w:lineRule="auto"/>
        <w:ind w:firstLine="567"/>
        <w:jc w:val="both"/>
        <w:rPr>
          <w:rFonts w:ascii="Times New Roman" w:eastAsia="Times New Roman" w:hAnsi="Times New Roman" w:cs="Times New Roman"/>
          <w:sz w:val="28"/>
          <w:szCs w:val="28"/>
          <w:lang w:eastAsia="ru-RU"/>
        </w:rPr>
      </w:pPr>
      <w:r w:rsidRPr="00241C26">
        <w:rPr>
          <w:rFonts w:ascii="Times New Roman" w:eastAsia="Times New Roman" w:hAnsi="Times New Roman" w:cs="Times New Roman"/>
          <w:sz w:val="28"/>
          <w:szCs w:val="28"/>
          <w:lang w:eastAsia="ru-RU"/>
        </w:rPr>
        <w:lastRenderedPageBreak/>
        <w:t>Комітет Верховної Ради України з питань європейської інтеграції дійшов висновку, що зазначений Законопроект не належить до пріоритетних сфер адаптації законодавства України до законодавства Європейського Союзу, або регулюється національним законодавством країн-членів ЄС, а отже, не потребує експертного висновку Комітету з питань європейської інтеграції.</w:t>
      </w:r>
    </w:p>
    <w:p w:rsidR="008853C5" w:rsidRPr="008853C5" w:rsidRDefault="008853C5" w:rsidP="008853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8"/>
          <w:szCs w:val="28"/>
        </w:rPr>
      </w:pPr>
      <w:r w:rsidRPr="008853C5">
        <w:rPr>
          <w:rFonts w:ascii="Times New Roman" w:eastAsia="Times New Roman" w:hAnsi="Times New Roman" w:cs="Times New Roman"/>
          <w:sz w:val="28"/>
          <w:szCs w:val="28"/>
        </w:rPr>
        <w:t xml:space="preserve">Комітет Верховної Ради України з питань запобігання і протидії корупції зазначає, що у проекті </w:t>
      </w:r>
      <w:proofErr w:type="spellStart"/>
      <w:r w:rsidRPr="008853C5">
        <w:rPr>
          <w:rFonts w:ascii="Times New Roman" w:eastAsia="Times New Roman" w:hAnsi="Times New Roman" w:cs="Times New Roman"/>
          <w:sz w:val="28"/>
          <w:szCs w:val="28"/>
        </w:rPr>
        <w:t>акта</w:t>
      </w:r>
      <w:proofErr w:type="spellEnd"/>
      <w:r w:rsidRPr="008853C5">
        <w:rPr>
          <w:rFonts w:ascii="Times New Roman" w:eastAsia="Times New Roman" w:hAnsi="Times New Roman" w:cs="Times New Roman"/>
          <w:sz w:val="28"/>
          <w:szCs w:val="28"/>
        </w:rPr>
        <w:t xml:space="preserve"> не виявлено </w:t>
      </w:r>
      <w:proofErr w:type="spellStart"/>
      <w:r w:rsidRPr="008853C5">
        <w:rPr>
          <w:rFonts w:ascii="Times New Roman" w:eastAsia="Times New Roman" w:hAnsi="Times New Roman" w:cs="Times New Roman"/>
          <w:sz w:val="28"/>
          <w:szCs w:val="28"/>
        </w:rPr>
        <w:t>корупціогенних</w:t>
      </w:r>
      <w:proofErr w:type="spellEnd"/>
      <w:r w:rsidRPr="008853C5">
        <w:rPr>
          <w:rFonts w:ascii="Times New Roman" w:eastAsia="Times New Roman" w:hAnsi="Times New Roman" w:cs="Times New Roman"/>
          <w:sz w:val="28"/>
          <w:szCs w:val="28"/>
        </w:rPr>
        <w:t xml:space="preserve"> факторів – проект </w:t>
      </w:r>
      <w:proofErr w:type="spellStart"/>
      <w:r w:rsidRPr="008853C5">
        <w:rPr>
          <w:rFonts w:ascii="Times New Roman" w:eastAsia="Times New Roman" w:hAnsi="Times New Roman" w:cs="Times New Roman"/>
          <w:sz w:val="28"/>
          <w:szCs w:val="28"/>
        </w:rPr>
        <w:t>акта</w:t>
      </w:r>
      <w:proofErr w:type="spellEnd"/>
      <w:r w:rsidRPr="008853C5">
        <w:rPr>
          <w:rFonts w:ascii="Times New Roman" w:eastAsia="Times New Roman" w:hAnsi="Times New Roman" w:cs="Times New Roman"/>
          <w:sz w:val="28"/>
          <w:szCs w:val="28"/>
        </w:rPr>
        <w:t xml:space="preserve"> відповідає вимогам антикорупційного законодавства.</w:t>
      </w:r>
    </w:p>
    <w:p w:rsidR="00241C26" w:rsidRPr="00241C26" w:rsidRDefault="00241C26" w:rsidP="00241C26">
      <w:pPr>
        <w:spacing w:after="0" w:line="240" w:lineRule="auto"/>
        <w:ind w:firstLine="567"/>
        <w:jc w:val="both"/>
        <w:rPr>
          <w:rFonts w:ascii="Times New Roman" w:eastAsia="Times New Roman" w:hAnsi="Times New Roman" w:cs="Times New Roman"/>
          <w:spacing w:val="-2"/>
          <w:sz w:val="28"/>
          <w:szCs w:val="28"/>
          <w:lang w:eastAsia="ru-RU"/>
        </w:rPr>
      </w:pPr>
      <w:r w:rsidRPr="00241C26">
        <w:rPr>
          <w:rFonts w:ascii="Times New Roman" w:eastAsia="Times New Roman" w:hAnsi="Times New Roman" w:cs="Times New Roman"/>
          <w:sz w:val="28"/>
          <w:szCs w:val="28"/>
          <w:lang w:eastAsia="ru-RU"/>
        </w:rPr>
        <w:t>Н</w:t>
      </w:r>
      <w:bookmarkStart w:id="0" w:name="_GoBack"/>
      <w:bookmarkEnd w:id="0"/>
      <w:r w:rsidRPr="00241C26">
        <w:rPr>
          <w:rFonts w:ascii="Times New Roman" w:eastAsia="Times New Roman" w:hAnsi="Times New Roman" w:cs="Times New Roman"/>
          <w:sz w:val="28"/>
          <w:szCs w:val="28"/>
          <w:lang w:eastAsia="ru-RU"/>
        </w:rPr>
        <w:t>а підставі викладеного Комітет вирішив рекомендувати Верховній Раді України проект Закону про внесення змін до Закону України «Про забезпечення прав і свобод громадян та правовий режим на тимчасово окупованій території України» щодо визначення територіальної підсудності судових справ, підсудних розташованим на території Автономної Республіки Крим та міста Севастополя судам, та підслідності кримінальних правопорушень, вчинених на тимчасово окупованій території (реєстр. № 9331 від 23 листопада 2018 року), поданий народними депутатами України Гончаренком О.О., Геращенком А.Ю. та іншими народними депутатами України, включити до порядку денного пленарних засідань Верховної Ради України та прийняти в першому читанні за основу.</w:t>
      </w:r>
    </w:p>
    <w:p w:rsidR="00241C26" w:rsidRPr="00241C26" w:rsidRDefault="00241C26" w:rsidP="00241C26">
      <w:pPr>
        <w:spacing w:after="0" w:line="240" w:lineRule="auto"/>
        <w:ind w:firstLine="567"/>
        <w:jc w:val="both"/>
        <w:rPr>
          <w:rFonts w:ascii="Times New Roman" w:eastAsia="Times New Roman" w:hAnsi="Times New Roman" w:cs="Times New Roman"/>
          <w:spacing w:val="-4"/>
          <w:sz w:val="28"/>
          <w:szCs w:val="28"/>
          <w:lang w:eastAsia="ru-RU"/>
        </w:rPr>
      </w:pPr>
      <w:r w:rsidRPr="00241C26">
        <w:rPr>
          <w:rFonts w:ascii="Times New Roman" w:eastAsia="Times New Roman" w:hAnsi="Times New Roman" w:cs="Times New Roman"/>
          <w:sz w:val="28"/>
          <w:szCs w:val="28"/>
          <w:lang w:eastAsia="ru-RU"/>
        </w:rPr>
        <w:t xml:space="preserve">Доповідачем від Комітету з цього питання під час розгляду </w:t>
      </w:r>
      <w:r w:rsidRPr="00241C26">
        <w:rPr>
          <w:rFonts w:ascii="Times New Roman" w:eastAsia="Times New Roman" w:hAnsi="Times New Roman" w:cs="Times New Roman"/>
          <w:spacing w:val="-4"/>
          <w:sz w:val="28"/>
          <w:szCs w:val="28"/>
          <w:lang w:eastAsia="ru-RU"/>
        </w:rPr>
        <w:t xml:space="preserve">на пленарному засіданні Верховної Ради України </w:t>
      </w:r>
      <w:r w:rsidRPr="00241C26">
        <w:rPr>
          <w:rFonts w:ascii="Times New Roman" w:eastAsia="Times New Roman" w:hAnsi="Times New Roman" w:cs="Times New Roman"/>
          <w:sz w:val="28"/>
          <w:szCs w:val="28"/>
          <w:lang w:eastAsia="ru-RU"/>
        </w:rPr>
        <w:t>визначити народного депутата України, співголову підкомітету з питань судоустрою, статусу суддів, забезпечення діяльності судів, правого статусу Державної судової адміністрації України Македона Ю.М.</w:t>
      </w:r>
    </w:p>
    <w:p w:rsidR="001B52CD" w:rsidRPr="001B52CD" w:rsidRDefault="001B52CD" w:rsidP="001B52CD">
      <w:pPr>
        <w:spacing w:after="0" w:line="240" w:lineRule="auto"/>
        <w:ind w:firstLine="540"/>
        <w:jc w:val="both"/>
        <w:rPr>
          <w:rFonts w:ascii="Times New Roman" w:eastAsia="Times New Roman" w:hAnsi="Times New Roman" w:cs="Times New Roman"/>
          <w:sz w:val="28"/>
          <w:szCs w:val="28"/>
          <w:lang w:eastAsia="ru-RU"/>
        </w:rPr>
      </w:pPr>
      <w:r w:rsidRPr="001B52CD">
        <w:rPr>
          <w:rFonts w:ascii="Times New Roman" w:eastAsia="Times New Roman" w:hAnsi="Times New Roman" w:cs="Times New Roman"/>
          <w:sz w:val="28"/>
          <w:szCs w:val="28"/>
          <w:lang w:eastAsia="ru-RU"/>
        </w:rPr>
        <w:t>Додаючи проект Постанови Верховної Ради України</w:t>
      </w:r>
      <w:r>
        <w:rPr>
          <w:rFonts w:ascii="Times New Roman" w:eastAsia="Times New Roman" w:hAnsi="Times New Roman" w:cs="Times New Roman"/>
          <w:sz w:val="28"/>
          <w:szCs w:val="28"/>
          <w:lang w:eastAsia="ru-RU"/>
        </w:rPr>
        <w:t xml:space="preserve"> та відповідні матеріали</w:t>
      </w:r>
      <w:r w:rsidRPr="001B52CD">
        <w:rPr>
          <w:rFonts w:ascii="Times New Roman" w:eastAsia="Times New Roman" w:hAnsi="Times New Roman" w:cs="Times New Roman"/>
          <w:sz w:val="28"/>
          <w:szCs w:val="28"/>
          <w:lang w:eastAsia="ru-RU"/>
        </w:rPr>
        <w:t>, просимо розглянути.</w:t>
      </w:r>
    </w:p>
    <w:p w:rsidR="00241C26" w:rsidRPr="00241C26" w:rsidRDefault="00241C26" w:rsidP="00241C26">
      <w:pPr>
        <w:spacing w:after="0" w:line="240" w:lineRule="auto"/>
        <w:ind w:firstLine="567"/>
        <w:jc w:val="both"/>
        <w:rPr>
          <w:rFonts w:ascii="Times New Roman" w:eastAsia="Times New Roman" w:hAnsi="Times New Roman" w:cs="Times New Roman"/>
          <w:spacing w:val="-4"/>
          <w:sz w:val="28"/>
          <w:szCs w:val="28"/>
          <w:lang w:eastAsia="ru-RU"/>
        </w:rPr>
      </w:pPr>
    </w:p>
    <w:p w:rsidR="00241C26" w:rsidRPr="00241C26" w:rsidRDefault="00241C26" w:rsidP="00241C26">
      <w:pPr>
        <w:spacing w:after="0" w:line="240" w:lineRule="auto"/>
        <w:ind w:firstLine="540"/>
        <w:jc w:val="both"/>
        <w:rPr>
          <w:rFonts w:ascii="Times New Roman" w:eastAsia="Times New Roman" w:hAnsi="Times New Roman" w:cs="Times New Roman"/>
          <w:sz w:val="28"/>
          <w:szCs w:val="28"/>
          <w:lang w:eastAsia="ru-RU"/>
        </w:rPr>
      </w:pPr>
    </w:p>
    <w:p w:rsidR="00241C26" w:rsidRPr="00241C26" w:rsidRDefault="00241C26" w:rsidP="00241C26">
      <w:pPr>
        <w:spacing w:after="0" w:line="240" w:lineRule="auto"/>
        <w:jc w:val="both"/>
        <w:rPr>
          <w:rFonts w:ascii="Times New Roman" w:eastAsia="Times New Roman" w:hAnsi="Times New Roman" w:cs="Times New Roman"/>
          <w:b/>
          <w:sz w:val="28"/>
          <w:szCs w:val="28"/>
          <w:lang w:eastAsia="ru-RU"/>
        </w:rPr>
      </w:pPr>
      <w:r w:rsidRPr="00241C26">
        <w:rPr>
          <w:rFonts w:ascii="Times New Roman" w:eastAsia="Times New Roman" w:hAnsi="Times New Roman" w:cs="Times New Roman"/>
          <w:b/>
          <w:sz w:val="28"/>
          <w:szCs w:val="28"/>
          <w:lang w:eastAsia="ru-RU"/>
        </w:rPr>
        <w:t>Голова Комітету</w:t>
      </w:r>
      <w:r w:rsidRPr="00241C26">
        <w:rPr>
          <w:rFonts w:ascii="Times New Roman" w:eastAsia="Times New Roman" w:hAnsi="Times New Roman" w:cs="Times New Roman"/>
          <w:b/>
          <w:sz w:val="28"/>
          <w:szCs w:val="28"/>
          <w:lang w:eastAsia="ru-RU"/>
        </w:rPr>
        <w:tab/>
      </w:r>
      <w:r w:rsidRPr="00241C26">
        <w:rPr>
          <w:rFonts w:ascii="Times New Roman" w:eastAsia="Times New Roman" w:hAnsi="Times New Roman" w:cs="Times New Roman"/>
          <w:b/>
          <w:sz w:val="28"/>
          <w:szCs w:val="28"/>
          <w:lang w:eastAsia="ru-RU"/>
        </w:rPr>
        <w:tab/>
      </w:r>
      <w:r w:rsidRPr="00241C26">
        <w:rPr>
          <w:rFonts w:ascii="Times New Roman" w:eastAsia="Times New Roman" w:hAnsi="Times New Roman" w:cs="Times New Roman"/>
          <w:b/>
          <w:sz w:val="28"/>
          <w:szCs w:val="28"/>
          <w:lang w:eastAsia="ru-RU"/>
        </w:rPr>
        <w:tab/>
      </w:r>
      <w:r w:rsidRPr="00241C26">
        <w:rPr>
          <w:rFonts w:ascii="Times New Roman" w:eastAsia="Times New Roman" w:hAnsi="Times New Roman" w:cs="Times New Roman"/>
          <w:b/>
          <w:sz w:val="28"/>
          <w:szCs w:val="28"/>
          <w:lang w:eastAsia="ru-RU"/>
        </w:rPr>
        <w:tab/>
      </w:r>
      <w:r w:rsidRPr="00241C26">
        <w:rPr>
          <w:rFonts w:ascii="Times New Roman" w:eastAsia="Times New Roman" w:hAnsi="Times New Roman" w:cs="Times New Roman"/>
          <w:b/>
          <w:sz w:val="28"/>
          <w:szCs w:val="28"/>
          <w:lang w:eastAsia="ru-RU"/>
        </w:rPr>
        <w:tab/>
        <w:t xml:space="preserve">                 Р.П.КНЯЗЕВИЧ</w:t>
      </w:r>
    </w:p>
    <w:p w:rsidR="00A87B12" w:rsidRDefault="00A87B12"/>
    <w:sectPr w:rsidR="00A87B12" w:rsidSect="00241C26">
      <w:headerReference w:type="default" r:id="rId6"/>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1EBA" w:rsidRDefault="00ED1EBA" w:rsidP="00241C26">
      <w:pPr>
        <w:spacing w:after="0" w:line="240" w:lineRule="auto"/>
      </w:pPr>
      <w:r>
        <w:separator/>
      </w:r>
    </w:p>
  </w:endnote>
  <w:endnote w:type="continuationSeparator" w:id="0">
    <w:p w:rsidR="00ED1EBA" w:rsidRDefault="00ED1EBA" w:rsidP="00241C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pitch w:val="variable"/>
    <w:sig w:usb0="00002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1EBA" w:rsidRDefault="00ED1EBA" w:rsidP="00241C26">
      <w:pPr>
        <w:spacing w:after="0" w:line="240" w:lineRule="auto"/>
      </w:pPr>
      <w:r>
        <w:separator/>
      </w:r>
    </w:p>
  </w:footnote>
  <w:footnote w:type="continuationSeparator" w:id="0">
    <w:p w:rsidR="00ED1EBA" w:rsidRDefault="00ED1EBA" w:rsidP="00241C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1005525"/>
      <w:docPartObj>
        <w:docPartGallery w:val="Page Numbers (Top of Page)"/>
        <w:docPartUnique/>
      </w:docPartObj>
    </w:sdtPr>
    <w:sdtEndPr/>
    <w:sdtContent>
      <w:p w:rsidR="00241C26" w:rsidRDefault="00241C26">
        <w:pPr>
          <w:pStyle w:val="a3"/>
          <w:jc w:val="center"/>
        </w:pPr>
        <w:r>
          <w:fldChar w:fldCharType="begin"/>
        </w:r>
        <w:r>
          <w:instrText>PAGE   \* MERGEFORMAT</w:instrText>
        </w:r>
        <w:r>
          <w:fldChar w:fldCharType="separate"/>
        </w:r>
        <w:r w:rsidR="008853C5">
          <w:rPr>
            <w:noProof/>
          </w:rPr>
          <w:t>3</w:t>
        </w:r>
        <w:r>
          <w:fldChar w:fldCharType="end"/>
        </w:r>
      </w:p>
    </w:sdtContent>
  </w:sdt>
  <w:p w:rsidR="00241C26" w:rsidRDefault="00241C26">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1C26"/>
    <w:rsid w:val="001B52CD"/>
    <w:rsid w:val="00241C26"/>
    <w:rsid w:val="00330037"/>
    <w:rsid w:val="00384AEA"/>
    <w:rsid w:val="004F30C9"/>
    <w:rsid w:val="007E338B"/>
    <w:rsid w:val="008853C5"/>
    <w:rsid w:val="00A87B12"/>
    <w:rsid w:val="00E0085B"/>
    <w:rsid w:val="00ED1EB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2A214"/>
  <w15:chartTrackingRefBased/>
  <w15:docId w15:val="{C7F1D1E0-D777-4F9D-8F85-C12B835C7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41C26"/>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241C26"/>
  </w:style>
  <w:style w:type="paragraph" w:styleId="a5">
    <w:name w:val="footer"/>
    <w:basedOn w:val="a"/>
    <w:link w:val="a6"/>
    <w:uiPriority w:val="99"/>
    <w:unhideWhenUsed/>
    <w:rsid w:val="00241C26"/>
    <w:pPr>
      <w:tabs>
        <w:tab w:val="center" w:pos="4819"/>
        <w:tab w:val="right" w:pos="9639"/>
      </w:tabs>
      <w:spacing w:after="0" w:line="240" w:lineRule="auto"/>
    </w:pPr>
  </w:style>
  <w:style w:type="character" w:customStyle="1" w:styleId="a6">
    <w:name w:val="Нижній колонтитул Знак"/>
    <w:basedOn w:val="a0"/>
    <w:link w:val="a5"/>
    <w:uiPriority w:val="99"/>
    <w:rsid w:val="00241C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6034</Words>
  <Characters>3440</Characters>
  <Application>Microsoft Office Word</Application>
  <DocSecurity>0</DocSecurity>
  <Lines>28</Lines>
  <Paragraphs>18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Корнієнко-Зєнкова Наталія Миколаївна</dc:creator>
  <cp:keywords/>
  <dc:description/>
  <cp:lastModifiedBy>Корнієнко-Зєнкова Наталія Миколаївна</cp:lastModifiedBy>
  <cp:revision>4</cp:revision>
  <dcterms:created xsi:type="dcterms:W3CDTF">2019-01-17T19:13:00Z</dcterms:created>
  <dcterms:modified xsi:type="dcterms:W3CDTF">2019-01-23T15:51:00Z</dcterms:modified>
</cp:coreProperties>
</file>