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3D40D9" w14:textId="77777777" w:rsid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фінансів, податкової та </w:t>
      </w:r>
    </w:p>
    <w:p w14:paraId="11A5D060" w14:textId="49222048" w:rsidR="00202DE0" w:rsidRPr="00202DE0" w:rsidRDefault="00202DE0" w:rsidP="00202DE0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митної політики</w:t>
      </w:r>
    </w:p>
    <w:p w14:paraId="2137C081" w14:textId="77777777" w:rsidR="00202DE0" w:rsidRP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7777777" w:rsidR="00202DE0" w:rsidRPr="00202DE0" w:rsidRDefault="00202DE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B6A7CA4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5D2EE9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5D2EE9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D2EE9" w:rsidRPr="005D2EE9">
        <w:rPr>
          <w:rFonts w:ascii="Times New Roman" w:eastAsia="Times New Roman" w:hAnsi="Times New Roman"/>
          <w:color w:val="000000"/>
          <w:sz w:val="28"/>
          <w:szCs w:val="32"/>
          <w:shd w:val="clear" w:color="auto" w:fill="FFFFFF"/>
          <w:lang w:val="ru-UA" w:eastAsia="ru-RU"/>
        </w:rPr>
        <w:t>Закону про захист прав споживачів та ліквідацію подвійного стягнення комісійних платежів при сплаті за надані житлово-комунальні послуги (реєстр.№2020)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5D2EE9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displayBackgroundShape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D2EE9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8AD41-AE4C-2A42-94DC-C1836380E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77</Words>
  <Characters>653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26</cp:revision>
  <cp:lastPrinted>2019-11-08T11:28:00Z</cp:lastPrinted>
  <dcterms:created xsi:type="dcterms:W3CDTF">2020-03-31T08:08:00Z</dcterms:created>
  <dcterms:modified xsi:type="dcterms:W3CDTF">2020-05-05T13:28:00Z</dcterms:modified>
</cp:coreProperties>
</file>