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hd w:fill="FFFFFF"/>
        <w:suppressAutoHyphens w:val="true"/>
        <w:bidi w:val="0"/>
        <w:spacing w:before="0" w:after="0"/>
        <w:ind w:left="0" w:right="0" w:hanging="0"/>
        <w:jc w:val="center"/>
        <w:textAlignment w:val="auto"/>
        <w:rPr/>
      </w:pPr>
      <w:r>
        <w:rPr>
          <w:rFonts w:ascii="Times New Roman" w:hAnsi="Times New Roman"/>
          <w:b/>
          <w:bCs/>
          <w:color w:val="000000"/>
          <w:sz w:val="28"/>
          <w:szCs w:val="28"/>
          <w:lang w:eastAsia="zh-CN"/>
        </w:rPr>
        <w:t>ПОЯСНЮВАЛЬНА ЗАПИСКА</w:t>
      </w:r>
    </w:p>
    <w:p>
      <w:pPr>
        <w:pStyle w:val="Normal"/>
        <w:widowControl/>
        <w:suppressAutoHyphens w:val="true"/>
        <w:bidi w:val="0"/>
        <w:spacing w:before="0" w:after="0"/>
        <w:ind w:left="0" w:right="0" w:hanging="0"/>
        <w:jc w:val="center"/>
        <w:textAlignment w:val="auto"/>
        <w:rPr/>
      </w:pPr>
      <w:r>
        <w:rPr>
          <w:rFonts w:ascii="Times New Roman" w:hAnsi="Times New Roman"/>
          <w:b/>
          <w:bCs/>
          <w:color w:val="000000"/>
          <w:sz w:val="28"/>
          <w:szCs w:val="28"/>
          <w:lang w:eastAsia="zh-CN"/>
        </w:rPr>
        <w:t xml:space="preserve">до проекту </w:t>
      </w:r>
      <w:r>
        <w:rPr>
          <w:rStyle w:val="Rvts23"/>
          <w:rFonts w:ascii="Times New Roman" w:hAnsi="Times New Roman"/>
          <w:b/>
          <w:sz w:val="28"/>
          <w:szCs w:val="28"/>
          <w:lang w:val="uk-UA" w:eastAsia="en-US" w:bidi="ar-SA"/>
        </w:rPr>
        <w:t xml:space="preserve">Закону </w:t>
      </w:r>
      <w:r>
        <w:rPr>
          <w:rFonts w:ascii="Times New Roman" w:hAnsi="Times New Roman"/>
          <w:b/>
          <w:sz w:val="28"/>
          <w:szCs w:val="28"/>
        </w:rPr>
        <w:t xml:space="preserve">України «Про внесення змін до деяких законодавчих актів України щодо скасування фінансування політичних партій </w:t>
      </w:r>
    </w:p>
    <w:p>
      <w:pPr>
        <w:pStyle w:val="Normal"/>
        <w:widowControl/>
        <w:suppressAutoHyphens w:val="true"/>
        <w:bidi w:val="0"/>
        <w:spacing w:before="0" w:after="0"/>
        <w:ind w:left="0" w:right="0" w:hanging="0"/>
        <w:jc w:val="center"/>
        <w:textAlignment w:val="auto"/>
        <w:rPr/>
      </w:pPr>
      <w:r>
        <w:rPr>
          <w:rFonts w:ascii="Times New Roman" w:hAnsi="Times New Roman"/>
          <w:b/>
          <w:sz w:val="28"/>
          <w:szCs w:val="28"/>
        </w:rPr>
        <w:t>з державного бюджету»</w:t>
      </w:r>
    </w:p>
    <w:p>
      <w:pPr>
        <w:pStyle w:val="Normal"/>
        <w:widowControl/>
        <w:suppressAutoHyphens w:val="true"/>
        <w:bidi w:val="0"/>
        <w:spacing w:before="0" w:after="0"/>
        <w:ind w:left="0" w:right="0" w:hanging="0"/>
        <w:jc w:val="center"/>
        <w:textAlignment w:val="auto"/>
        <w:rPr>
          <w:rFonts w:ascii="Times New Roman" w:hAnsi="Times New Roman"/>
          <w:b/>
          <w:b/>
          <w:sz w:val="28"/>
          <w:szCs w:val="28"/>
        </w:rPr>
      </w:pPr>
      <w:r>
        <w:rPr>
          <w:rFonts w:ascii="Times New Roman" w:hAnsi="Times New Roman"/>
          <w:b/>
          <w:sz w:val="28"/>
          <w:szCs w:val="28"/>
        </w:rPr>
      </w:r>
    </w:p>
    <w:p>
      <w:pPr>
        <w:pStyle w:val="Normal"/>
        <w:widowControl/>
        <w:suppressAutoHyphens w:val="true"/>
        <w:bidi w:val="0"/>
        <w:spacing w:before="0" w:after="0"/>
        <w:ind w:left="0" w:right="0" w:hanging="0"/>
        <w:jc w:val="center"/>
        <w:textAlignment w:val="auto"/>
        <w:rPr>
          <w:rFonts w:ascii="Times New Roman" w:hAnsi="Times New Roman"/>
          <w:b/>
          <w:b/>
          <w:bCs/>
          <w:color w:val="000000"/>
          <w:sz w:val="16"/>
          <w:szCs w:val="16"/>
          <w:lang w:eastAsia="zh-CN"/>
        </w:rPr>
      </w:pPr>
      <w:r>
        <w:rPr>
          <w:rFonts w:ascii="Times New Roman" w:hAnsi="Times New Roman"/>
          <w:b/>
          <w:bCs/>
          <w:color w:val="000000"/>
          <w:sz w:val="16"/>
          <w:szCs w:val="16"/>
          <w:lang w:eastAsia="zh-CN"/>
        </w:rPr>
      </w:r>
    </w:p>
    <w:p>
      <w:pPr>
        <w:pStyle w:val="Normal"/>
        <w:widowControl w:val="false"/>
        <w:shd w:fill="FFFFFF"/>
        <w:suppressAutoHyphens w:val="true"/>
        <w:bidi w:val="0"/>
        <w:spacing w:before="0" w:after="0"/>
        <w:ind w:left="0" w:right="0" w:firstLine="550"/>
        <w:jc w:val="both"/>
        <w:textAlignment w:val="auto"/>
        <w:rPr/>
      </w:pPr>
      <w:r>
        <w:rPr>
          <w:rFonts w:ascii="Times New Roman" w:hAnsi="Times New Roman"/>
          <w:b/>
          <w:bCs/>
          <w:color w:val="000000"/>
          <w:sz w:val="28"/>
          <w:szCs w:val="28"/>
          <w:lang w:eastAsia="zh-CN"/>
        </w:rPr>
        <w:t>1. Обґрунтування необхідності прийняття Закону</w:t>
      </w:r>
    </w:p>
    <w:p>
      <w:pPr>
        <w:pStyle w:val="Normal"/>
        <w:widowControl w:val="false"/>
        <w:shd w:fill="FFFFFF"/>
        <w:suppressAutoHyphens w:val="true"/>
        <w:bidi w:val="0"/>
        <w:spacing w:before="0" w:after="0"/>
        <w:ind w:left="0" w:right="0" w:firstLine="550"/>
        <w:jc w:val="both"/>
        <w:textAlignment w:val="auto"/>
        <w:rPr>
          <w:rFonts w:ascii="Times New Roman" w:hAnsi="Times New Roman"/>
          <w:b/>
          <w:b/>
          <w:bCs/>
          <w:color w:val="000000"/>
          <w:sz w:val="28"/>
          <w:szCs w:val="28"/>
          <w:lang w:eastAsia="zh-CN"/>
        </w:rPr>
      </w:pPr>
      <w:r>
        <w:rPr>
          <w:rFonts w:ascii="Times New Roman" w:hAnsi="Times New Roman"/>
          <w:b/>
          <w:bCs/>
          <w:color w:val="000000"/>
          <w:sz w:val="28"/>
          <w:szCs w:val="28"/>
          <w:lang w:eastAsia="zh-CN"/>
        </w:rPr>
      </w:r>
    </w:p>
    <w:p>
      <w:pPr>
        <w:pStyle w:val="Normal"/>
        <w:widowControl w:val="false"/>
        <w:shd w:fill="FFFFFF"/>
        <w:suppressAutoHyphens w:val="true"/>
        <w:bidi w:val="0"/>
        <w:spacing w:before="0" w:after="0"/>
        <w:ind w:left="0" w:right="0" w:firstLine="550"/>
        <w:jc w:val="both"/>
        <w:textAlignment w:val="auto"/>
        <w:rPr/>
      </w:pPr>
      <w:r>
        <w:rPr>
          <w:rFonts w:ascii="Times New Roman" w:hAnsi="Times New Roman"/>
          <w:sz w:val="28"/>
          <w:szCs w:val="28"/>
          <w:lang w:eastAsia="zh-CN"/>
        </w:rPr>
        <w:t>Проект Закону України «Про внесення змін до деяких законодавчих актів України щодо скасування фінансування політичних партій з державного бюджету»</w:t>
      </w:r>
      <w:r>
        <w:rPr>
          <w:rStyle w:val="Rvts23"/>
          <w:rFonts w:ascii="Times New Roman" w:hAnsi="Times New Roman"/>
          <w:sz w:val="28"/>
          <w:szCs w:val="28"/>
          <w:lang w:val="uk-UA" w:eastAsia="zh-CN" w:bidi="ar-SA"/>
        </w:rPr>
        <w:t xml:space="preserve"> </w:t>
      </w:r>
      <w:r>
        <w:rPr>
          <w:rStyle w:val="Rvts23"/>
          <w:rFonts w:ascii="Times New Roman" w:hAnsi="Times New Roman"/>
          <w:sz w:val="28"/>
          <w:szCs w:val="28"/>
          <w:lang w:val="uk-UA" w:eastAsia="en-US" w:bidi="ar-SA"/>
        </w:rPr>
        <w:t xml:space="preserve">(надалі – Законопроект) розроблено у зв’язку з необхідністю скасування  необґрунтованих видатків державного бюджету, що не узгоджуються із соціально-економічним становищем країни. </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 xml:space="preserve">Підтримуючи саму ідею надання державної фінансової підтримки політичним партіям, не можна не зауважити, що вкрай несвоєчасним є впровадження такого інструменту в умовах кризової ситуації в економіці країни, значного недофінансування соціальної сфери тощо. За стандартами ООН біля 80 % українців живуть за межею бідності, а прожитковий мінімум українців наближується до прожиткового мінімуму африканських країн. Низький рівень доходів не дозволяє українцям повноцінно харчуватися, надзвичайно велика кількість громадян не може дозволити собі навіть необхідні видатки, такі як оплата комунальних послуг – станом на травень 2019 року заборгованість із комунальних платежів становить 52 млрд. грн. </w:t>
      </w:r>
      <w:r>
        <w:rPr>
          <w:rFonts w:cs="Arial" w:ascii="Arial" w:hAnsi="Arial"/>
          <w:color w:val="000000"/>
          <w:sz w:val="16"/>
          <w:szCs w:val="16"/>
          <w:shd w:fill="FFFFFF" w:val="clear"/>
        </w:rPr>
        <w:t>(</w:t>
      </w:r>
      <w:r>
        <w:rPr>
          <w:rStyle w:val="Rvts23"/>
          <w:rFonts w:ascii="Times New Roman" w:hAnsi="Times New Roman"/>
          <w:sz w:val="28"/>
          <w:szCs w:val="28"/>
          <w:lang w:val="uk-UA" w:eastAsia="en-US" w:bidi="ar-SA"/>
        </w:rPr>
        <w:t xml:space="preserve">без урахування електроенергії). Очікується, що в цьому році ще більше українських сімей звернуться по субсидії, це при тому, що у державний бюджет 2019 року і так закладено недостатньо коштів на субсидії громадянам. </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Не вистачає фінансування з державного бюджету і на виконання інших зобов’язань держави перед громадянами, як, наприклад, охорони здоров’я. Так, потреба в ліках, які закуповуються централізовано за рахунок коштів державного бюджету, штучно занижується, та навіть і в такому обсязі проводиться із запізненням та не повністю.</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 xml:space="preserve">В таких умовах спрямування державних коштів на фінансування партій є не просто недоцільним, але злочинним кроком. </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 xml:space="preserve">Впровадження (точніше повернення до) державного фінансування політичних партій в Україні обґрунтовувалося тим, що таке фінансування здійснюється у більшості країн Європи та передбачене </w:t>
      </w:r>
      <w:r>
        <w:rPr>
          <w:rFonts w:ascii="Times New Roman" w:hAnsi="Times New Roman"/>
          <w:sz w:val="28"/>
          <w:szCs w:val="28"/>
        </w:rPr>
        <w:t>Єдиними правилами проти корупції у сфері фінансування політичних партій та виборчих кампаній</w:t>
      </w:r>
      <w:r>
        <w:rPr>
          <w:rStyle w:val="Rvts23"/>
          <w:rFonts w:ascii="Times New Roman" w:hAnsi="Times New Roman"/>
          <w:sz w:val="28"/>
          <w:szCs w:val="28"/>
          <w:lang w:val="uk-UA" w:eastAsia="en-US" w:bidi="ar-SA"/>
        </w:rPr>
        <w:t xml:space="preserve">, </w:t>
      </w:r>
      <w:r>
        <w:rPr>
          <w:rFonts w:ascii="Times New Roman" w:hAnsi="Times New Roman"/>
          <w:sz w:val="28"/>
          <w:szCs w:val="28"/>
        </w:rPr>
        <w:t>затвердженими Рекомендацією 2003 (4) Комітету Міністрів Ради Європи (далі – Єдині правила), та які є основним стандартом у сфері регулювання партійних та виборчих фінансів</w:t>
      </w:r>
      <w:r>
        <w:rPr>
          <w:rStyle w:val="Rvts23"/>
          <w:rFonts w:ascii="Times New Roman" w:hAnsi="Times New Roman"/>
          <w:sz w:val="28"/>
          <w:szCs w:val="28"/>
          <w:lang w:val="uk-UA" w:eastAsia="en-US" w:bidi="ar-SA"/>
        </w:rPr>
        <w:t xml:space="preserve">. Однак, не було прийнято до уваги, що рівень життя громадян та економічний розвиток країн, в яких передбачене пряме державне фінансування політичних партій (Німеччина, Австрія, Франція, Швеція, Данія тощо), важко навіть порівнювати з цими ж показниками в Україні.  Крім того, Єдині правила закріплюють, що державна підтримка </w:t>
      </w:r>
      <w:r>
        <w:rPr>
          <w:rStyle w:val="Rvts23"/>
          <w:rFonts w:ascii="Times New Roman" w:hAnsi="Times New Roman"/>
          <w:b w:val="false"/>
          <w:bCs w:val="false"/>
          <w:color w:val="000000"/>
          <w:sz w:val="28"/>
          <w:szCs w:val="28"/>
          <w:lang w:val="uk-UA" w:eastAsia="en-US" w:bidi="ar-SA"/>
        </w:rPr>
        <w:t>може</w:t>
      </w:r>
      <w:r>
        <w:rPr>
          <w:rStyle w:val="Rvts23"/>
          <w:rFonts w:ascii="Times New Roman" w:hAnsi="Times New Roman"/>
          <w:sz w:val="28"/>
          <w:szCs w:val="28"/>
          <w:lang w:val="uk-UA" w:eastAsia="en-US" w:bidi="ar-SA"/>
        </w:rPr>
        <w:t xml:space="preserve"> бути фінансовою. Отже, прямих зобов’язань держави фінансувати партії з бюджету Єдині правила не містять. Група держав по боротьбі з корупцією (ҐРЕКО) загалом утримується від надання рекомендацій щодо розмірів та способів відповідного фінансування.</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У бюджеті 2019 року на державне фінансування партій передбачено біля  400 мільйонів гривень. У багатьох громадян виникає питання: чому вони  мусять оплачувати діяльність партії, коли вони живуть на межі бідності?</w:t>
      </w:r>
    </w:p>
    <w:p>
      <w:pPr>
        <w:pStyle w:val="Normal"/>
        <w:widowControl w:val="false"/>
        <w:shd w:fill="FFFFFF"/>
        <w:suppressAutoHyphens w:val="true"/>
        <w:bidi w:val="0"/>
        <w:ind w:left="0" w:right="0" w:firstLine="550"/>
        <w:jc w:val="both"/>
        <w:textAlignment w:val="auto"/>
        <w:rPr/>
      </w:pPr>
      <w:r>
        <w:rPr>
          <w:rStyle w:val="Rvts23"/>
          <w:rFonts w:ascii="Times New Roman" w:hAnsi="Times New Roman"/>
          <w:sz w:val="28"/>
          <w:szCs w:val="28"/>
          <w:lang w:val="uk-UA" w:eastAsia="en-US" w:bidi="ar-SA"/>
        </w:rPr>
        <w:t>Фінансування партій у такому вигляді, в якому воно було впроваджено, продемонструвало значну кількість неузгодженостей, та й ще на етапі розробки така ідея викликала багато нарікань з боку експертів. Тому д</w:t>
      </w:r>
      <w:r>
        <w:rPr>
          <w:rFonts w:ascii="Times New Roman" w:hAnsi="Times New Roman"/>
          <w:sz w:val="28"/>
          <w:szCs w:val="16"/>
        </w:rPr>
        <w:t xml:space="preserve">оцільно не призупиняти, а скасовувати норми із подальшим розробленням нової дієвої системи державної підтримки  політичних партій. </w:t>
      </w:r>
    </w:p>
    <w:p>
      <w:pPr>
        <w:pStyle w:val="Normal"/>
        <w:widowControl w:val="false"/>
        <w:shd w:fill="FFFFFF"/>
        <w:suppressAutoHyphens w:val="true"/>
        <w:bidi w:val="0"/>
        <w:spacing w:before="0" w:after="0"/>
        <w:ind w:left="0" w:right="0" w:firstLine="550"/>
        <w:jc w:val="both"/>
        <w:textAlignment w:val="auto"/>
        <w:rPr/>
      </w:pPr>
      <w:r>
        <w:rPr>
          <w:rFonts w:ascii="Times New Roman" w:hAnsi="Times New Roman"/>
          <w:sz w:val="28"/>
          <w:szCs w:val="16"/>
        </w:rPr>
        <w:t xml:space="preserve">Таким чином, існує об’єктивна необхідність скасувати фінансування з державного бюджету політичних партій  із спрямуванням зусиль на розробку дієвого та справедливого механізму державної фінансової підтримки, який може бути впроваджено у майбутньому після стабілізації ситуації в країні та досягнення стабільного економічного росту. </w:t>
      </w:r>
    </w:p>
    <w:p>
      <w:pPr>
        <w:pStyle w:val="Normal"/>
        <w:widowControl w:val="false"/>
        <w:shd w:fill="FFFFFF"/>
        <w:suppressAutoHyphens w:val="true"/>
        <w:bidi w:val="0"/>
        <w:spacing w:before="0" w:after="0"/>
        <w:ind w:left="0" w:right="0" w:firstLine="550"/>
        <w:jc w:val="both"/>
        <w:textAlignment w:val="auto"/>
        <w:rPr>
          <w:rFonts w:ascii="Times New Roman" w:hAnsi="Times New Roman"/>
          <w:sz w:val="28"/>
          <w:szCs w:val="16"/>
        </w:rPr>
      </w:pPr>
      <w:r>
        <w:rPr>
          <w:rFonts w:ascii="Times New Roman" w:hAnsi="Times New Roman"/>
          <w:sz w:val="28"/>
          <w:szCs w:val="16"/>
        </w:rPr>
      </w:r>
    </w:p>
    <w:p>
      <w:pPr>
        <w:pStyle w:val="Normal"/>
        <w:widowControl w:val="false"/>
        <w:shd w:fill="FFFFFF"/>
        <w:suppressAutoHyphens w:val="true"/>
        <w:bidi w:val="0"/>
        <w:spacing w:before="0" w:after="0"/>
        <w:ind w:left="0" w:right="0" w:firstLine="550"/>
        <w:jc w:val="both"/>
        <w:textAlignment w:val="auto"/>
        <w:rPr/>
      </w:pPr>
      <w:r>
        <w:rPr>
          <w:rFonts w:ascii="Times New Roman" w:hAnsi="Times New Roman"/>
          <w:b/>
          <w:sz w:val="28"/>
          <w:szCs w:val="28"/>
        </w:rPr>
        <w:t>2. Цілі і завдання проекту</w:t>
      </w:r>
    </w:p>
    <w:p>
      <w:pPr>
        <w:pStyle w:val="Normal"/>
        <w:widowControl w:val="false"/>
        <w:shd w:fill="FFFFFF"/>
        <w:suppressAutoHyphens w:val="true"/>
        <w:bidi w:val="0"/>
        <w:spacing w:before="0" w:after="0"/>
        <w:ind w:left="0" w:right="0" w:firstLine="550"/>
        <w:jc w:val="both"/>
        <w:textAlignment w:val="auto"/>
        <w:rPr>
          <w:rFonts w:ascii="Times New Roman" w:hAnsi="Times New Roman"/>
          <w:sz w:val="28"/>
          <w:szCs w:val="28"/>
        </w:rPr>
      </w:pPr>
      <w:r>
        <w:rPr>
          <w:rFonts w:ascii="Times New Roman" w:hAnsi="Times New Roman"/>
          <w:sz w:val="28"/>
          <w:szCs w:val="28"/>
        </w:rPr>
      </w:r>
    </w:p>
    <w:p>
      <w:pPr>
        <w:pStyle w:val="Normal"/>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spacing w:before="0" w:after="0"/>
        <w:ind w:left="0" w:right="0" w:firstLine="550"/>
        <w:jc w:val="both"/>
        <w:textAlignment w:val="auto"/>
        <w:rPr/>
      </w:pPr>
      <w:r>
        <w:rPr>
          <w:rFonts w:ascii="Times New Roman" w:hAnsi="Times New Roman"/>
          <w:sz w:val="28"/>
          <w:szCs w:val="28"/>
        </w:rPr>
        <w:t xml:space="preserve">Метою і завданнями прийняття цього законопроекту є скасування обов’язку держави з фінансування політичних партій та відповідно  перерозподілу коштів державного бюджету на фінансування соціально значущих видатків. </w:t>
      </w:r>
    </w:p>
    <w:p>
      <w:pPr>
        <w:pStyle w:val="Normal"/>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spacing w:before="0" w:after="0"/>
        <w:ind w:left="0" w:right="0" w:firstLine="550"/>
        <w:jc w:val="both"/>
        <w:textAlignment w:val="auto"/>
        <w:rPr/>
      </w:pPr>
      <w:r>
        <w:rPr>
          <w:rFonts w:ascii="Times New Roman" w:hAnsi="Times New Roman"/>
          <w:sz w:val="28"/>
          <w:szCs w:val="28"/>
        </w:rPr>
        <w:t xml:space="preserve"> </w:t>
      </w:r>
    </w:p>
    <w:p>
      <w:pPr>
        <w:pStyle w:val="Normal"/>
        <w:widowControl/>
        <w:tabs>
          <w:tab w:val="left" w:pos="720" w:leader="none"/>
        </w:tabs>
        <w:bidi w:val="0"/>
        <w:spacing w:before="0" w:after="0"/>
        <w:ind w:left="0" w:right="0" w:firstLine="550"/>
        <w:jc w:val="both"/>
        <w:textAlignment w:val="auto"/>
        <w:rPr/>
      </w:pPr>
      <w:r>
        <w:rPr>
          <w:rFonts w:ascii="Times New Roman" w:hAnsi="Times New Roman"/>
          <w:b/>
          <w:bCs/>
          <w:color w:val="000000"/>
          <w:sz w:val="28"/>
          <w:szCs w:val="28"/>
        </w:rPr>
        <w:t>3. Загальна характеристика і основні положення законопроекту</w:t>
      </w:r>
    </w:p>
    <w:p>
      <w:pPr>
        <w:pStyle w:val="Normal"/>
        <w:widowControl/>
        <w:tabs>
          <w:tab w:val="left" w:pos="720" w:leader="none"/>
        </w:tabs>
        <w:bidi w:val="0"/>
        <w:spacing w:before="0" w:after="0"/>
        <w:ind w:left="0" w:right="0" w:firstLine="550"/>
        <w:jc w:val="both"/>
        <w:textAlignment w:val="auto"/>
        <w:rPr>
          <w:rFonts w:ascii="Times New Roman" w:hAnsi="Times New Roman"/>
          <w:bCs/>
          <w:color w:val="000000"/>
          <w:sz w:val="28"/>
          <w:szCs w:val="28"/>
        </w:rPr>
      </w:pPr>
      <w:r>
        <w:rPr>
          <w:rFonts w:ascii="Times New Roman" w:hAnsi="Times New Roman"/>
          <w:bCs/>
          <w:color w:val="000000"/>
          <w:sz w:val="28"/>
          <w:szCs w:val="28"/>
        </w:rPr>
      </w:r>
    </w:p>
    <w:p>
      <w:pPr>
        <w:pStyle w:val="Normal"/>
        <w:widowControl/>
        <w:tabs>
          <w:tab w:val="left" w:pos="720" w:leader="none"/>
        </w:tabs>
        <w:bidi w:val="0"/>
        <w:spacing w:before="0" w:after="0"/>
        <w:ind w:left="0" w:right="0" w:firstLine="550"/>
        <w:jc w:val="both"/>
        <w:textAlignment w:val="auto"/>
        <w:rPr/>
      </w:pPr>
      <w:r>
        <w:rPr>
          <w:rFonts w:ascii="Times New Roman" w:hAnsi="Times New Roman"/>
          <w:bCs/>
          <w:color w:val="000000"/>
          <w:sz w:val="28"/>
          <w:szCs w:val="28"/>
        </w:rPr>
        <w:t>Законопроектом пропонується виключити з Закону України «Про політичні партії в Україні» Розділ IV</w:t>
      </w:r>
      <w:r>
        <w:rPr>
          <w:rFonts w:ascii="Times New Roman" w:hAnsi="Times New Roman"/>
          <w:bCs/>
          <w:color w:val="000000"/>
          <w:sz w:val="28"/>
          <w:szCs w:val="28"/>
          <w:vertAlign w:val="superscript"/>
        </w:rPr>
        <w:t>-1</w:t>
      </w:r>
      <w:r>
        <w:rPr>
          <w:rFonts w:ascii="Times New Roman" w:hAnsi="Times New Roman"/>
          <w:bCs/>
          <w:color w:val="000000"/>
          <w:sz w:val="28"/>
          <w:szCs w:val="28"/>
        </w:rPr>
        <w:t xml:space="preserve"> «Державне фінансування політичних партій». Крім того, запропоновано виключити державне фінансування з форм надання матеріальної підтримки партіям та відповідно закріпити, що надання  матеріальної та фінансової підтримки політичним партіям здійснюється лише у формі</w:t>
      </w:r>
      <w:r>
        <w:rPr>
          <w:rFonts w:ascii="Times New Roman" w:hAnsi="Times New Roman"/>
          <w:b/>
          <w:bCs/>
          <w:color w:val="000000"/>
          <w:sz w:val="28"/>
          <w:szCs w:val="28"/>
        </w:rPr>
        <w:t xml:space="preserve"> </w:t>
      </w:r>
      <w:r>
        <w:rPr>
          <w:rFonts w:ascii="Times New Roman" w:hAnsi="Times New Roman"/>
          <w:bCs/>
          <w:color w:val="000000"/>
          <w:sz w:val="28"/>
          <w:szCs w:val="28"/>
        </w:rPr>
        <w:t xml:space="preserve">внесків на підтримку партій. </w:t>
      </w:r>
    </w:p>
    <w:p>
      <w:pPr>
        <w:pStyle w:val="Normal"/>
        <w:widowControl/>
        <w:tabs>
          <w:tab w:val="left" w:pos="720" w:leader="none"/>
        </w:tabs>
        <w:bidi w:val="0"/>
        <w:spacing w:before="0" w:after="0"/>
        <w:ind w:left="0" w:right="0" w:firstLine="550"/>
        <w:jc w:val="both"/>
        <w:textAlignment w:val="auto"/>
        <w:rPr/>
      </w:pPr>
      <w:r>
        <w:rPr>
          <w:rFonts w:ascii="Times New Roman" w:hAnsi="Times New Roman"/>
          <w:bCs/>
          <w:color w:val="000000"/>
          <w:sz w:val="28"/>
          <w:szCs w:val="28"/>
        </w:rPr>
        <w:t>Також проект закону передбачає виключення з переліку інформації, яку повинен містити звіт про майно, доходи, витрати і зобов’язання фінансового характеру, відомостей про суму отриманих протягом звітного  періоду коштів з державного бюджету, виділених на фінансування статутної діяльності політичної партії та, окремо, на відшкодування витрат, пов’язаних з фінансуванням передвиборної агітації (у разі отримання політичною партією таких коштів). Інші пропозиції проекту до Закону України «Про політичні партії в Україні» спрямовані на узгодження положень закону в зв’язку із вищевикладеними змінами. Крім того, передбачено виключити Рахункову палату з переліку органів,</w:t>
      </w:r>
      <w:r>
        <w:rPr/>
        <w:t xml:space="preserve"> </w:t>
      </w:r>
      <w:r>
        <w:rPr>
          <w:rFonts w:ascii="Times New Roman" w:hAnsi="Times New Roman"/>
          <w:bCs/>
          <w:color w:val="000000"/>
          <w:sz w:val="28"/>
          <w:szCs w:val="28"/>
        </w:rPr>
        <w:t>що здійснюють державний контроль за діяльністю політичних партій.</w:t>
      </w:r>
    </w:p>
    <w:p>
      <w:pPr>
        <w:pStyle w:val="Normal"/>
        <w:widowControl/>
        <w:tabs>
          <w:tab w:val="left" w:pos="720" w:leader="none"/>
        </w:tabs>
        <w:bidi w:val="0"/>
        <w:spacing w:before="0" w:after="0"/>
        <w:ind w:left="0" w:right="0" w:firstLine="550"/>
        <w:jc w:val="both"/>
        <w:textAlignment w:val="auto"/>
        <w:rPr/>
      </w:pPr>
      <w:r>
        <w:rPr>
          <w:rFonts w:ascii="Times New Roman" w:hAnsi="Times New Roman"/>
          <w:bCs/>
          <w:color w:val="000000"/>
          <w:sz w:val="28"/>
          <w:szCs w:val="28"/>
        </w:rPr>
        <w:t xml:space="preserve">Законопроектом запропоновано внести зміни до Закону України «Про запобігання корупції» та виключити з переліку питань, що підлягають державному контролю з боку Національного </w:t>
      </w:r>
      <w:r>
        <w:rPr/>
        <w:t xml:space="preserve"> </w:t>
      </w:r>
      <w:r>
        <w:rPr>
          <w:rFonts w:ascii="Times New Roman" w:hAnsi="Times New Roman"/>
          <w:bCs/>
          <w:color w:val="000000"/>
          <w:sz w:val="28"/>
          <w:szCs w:val="28"/>
        </w:rPr>
        <w:t xml:space="preserve">агентства з питань запобігання корупції – «законне та цільове використання політичними партіями коштів, виділених з державного бюджету на фінансування їхньої статутної діяльності». </w:t>
      </w:r>
    </w:p>
    <w:p>
      <w:pPr>
        <w:pStyle w:val="Normal"/>
        <w:widowControl/>
        <w:tabs>
          <w:tab w:val="left" w:pos="720" w:leader="none"/>
        </w:tabs>
        <w:bidi w:val="0"/>
        <w:spacing w:before="0" w:after="0"/>
        <w:ind w:left="0" w:right="0" w:firstLine="550"/>
        <w:jc w:val="both"/>
        <w:textAlignment w:val="auto"/>
        <w:rPr/>
      </w:pPr>
      <w:r>
        <w:rPr>
          <w:rFonts w:ascii="Times New Roman" w:hAnsi="Times New Roman"/>
          <w:bCs/>
          <w:color w:val="000000"/>
          <w:sz w:val="28"/>
          <w:szCs w:val="16"/>
        </w:rPr>
        <w:t>Зміни також запропоновані до Кодексу України про адміністративні правопорушення у частині відповідальності за порушення порядку надання або отримання державного фінансування статутної діяльності політичної партії.</w:t>
      </w:r>
    </w:p>
    <w:p>
      <w:pPr>
        <w:pStyle w:val="NormalWeb"/>
        <w:widowControl/>
        <w:tabs>
          <w:tab w:val="left" w:pos="720" w:leader="none"/>
        </w:tabs>
        <w:bidi w:val="0"/>
        <w:spacing w:before="0" w:after="0"/>
        <w:ind w:left="0" w:right="0" w:firstLine="550"/>
        <w:jc w:val="both"/>
        <w:textAlignment w:val="auto"/>
        <w:rPr>
          <w:rFonts w:ascii="Times New Roman" w:hAnsi="Times New Roman"/>
          <w:b/>
          <w:b/>
          <w:bCs/>
          <w:color w:val="000000"/>
          <w:sz w:val="28"/>
          <w:szCs w:val="28"/>
        </w:rPr>
      </w:pPr>
      <w:r>
        <w:rPr/>
      </w:r>
    </w:p>
    <w:p>
      <w:pPr>
        <w:pStyle w:val="NormalWeb"/>
        <w:widowControl/>
        <w:tabs>
          <w:tab w:val="left" w:pos="720" w:leader="none"/>
        </w:tabs>
        <w:bidi w:val="0"/>
        <w:spacing w:before="0" w:after="0"/>
        <w:ind w:left="0" w:right="0" w:firstLine="550"/>
        <w:jc w:val="both"/>
        <w:textAlignment w:val="auto"/>
        <w:rPr/>
      </w:pPr>
      <w:r>
        <w:rPr>
          <w:rFonts w:ascii="Times New Roman" w:hAnsi="Times New Roman"/>
          <w:b/>
          <w:bCs/>
          <w:color w:val="000000"/>
          <w:sz w:val="28"/>
          <w:szCs w:val="28"/>
        </w:rPr>
        <w:t>4. Стан нормативно-правової бази у даній сфері правового регулювання</w:t>
      </w:r>
    </w:p>
    <w:p>
      <w:pPr>
        <w:pStyle w:val="NormalWeb"/>
        <w:widowControl/>
        <w:tabs>
          <w:tab w:val="left" w:pos="720" w:leader="none"/>
        </w:tabs>
        <w:bidi w:val="0"/>
        <w:spacing w:before="0" w:after="0"/>
        <w:ind w:left="0" w:right="0" w:firstLine="550"/>
        <w:jc w:val="both"/>
        <w:textAlignment w:val="auto"/>
        <w:rPr>
          <w:rFonts w:ascii="Times New Roman" w:hAnsi="Times New Roman"/>
          <w:b/>
          <w:b/>
          <w:bCs/>
          <w:color w:val="000000"/>
          <w:sz w:val="28"/>
          <w:szCs w:val="28"/>
        </w:rPr>
      </w:pPr>
      <w:r>
        <w:rPr>
          <w:rFonts w:ascii="Times New Roman" w:hAnsi="Times New Roman"/>
          <w:b/>
          <w:bCs/>
          <w:color w:val="000000"/>
          <w:sz w:val="28"/>
          <w:szCs w:val="28"/>
        </w:rPr>
      </w:r>
    </w:p>
    <w:p>
      <w:pPr>
        <w:pStyle w:val="Normal"/>
        <w:widowControl w:val="false"/>
        <w:tabs>
          <w:tab w:val="left" w:pos="567" w:leader="none"/>
        </w:tabs>
        <w:suppressAutoHyphens w:val="true"/>
        <w:bidi w:val="0"/>
        <w:spacing w:before="0" w:after="0"/>
        <w:ind w:left="0" w:right="0" w:firstLine="550"/>
        <w:jc w:val="both"/>
        <w:textAlignment w:val="auto"/>
        <w:rPr/>
      </w:pPr>
      <w:r>
        <w:rPr>
          <w:rFonts w:ascii="Times New Roman" w:hAnsi="Times New Roman"/>
          <w:sz w:val="28"/>
          <w:szCs w:val="28"/>
        </w:rPr>
        <w:t>Питання, що відносяться до предмету правового регулювання  законопроекту, регулюються</w:t>
      </w:r>
      <w:r>
        <w:rPr/>
        <w:t xml:space="preserve"> </w:t>
      </w:r>
      <w:r>
        <w:rPr>
          <w:rFonts w:ascii="Times New Roman" w:hAnsi="Times New Roman"/>
          <w:bCs/>
          <w:color w:val="000000"/>
          <w:sz w:val="28"/>
          <w:szCs w:val="16"/>
        </w:rPr>
        <w:t xml:space="preserve">Бюджетним кодексом України, </w:t>
      </w:r>
      <w:r>
        <w:rPr>
          <w:rFonts w:ascii="Times New Roman" w:hAnsi="Times New Roman"/>
          <w:sz w:val="28"/>
          <w:szCs w:val="28"/>
          <w:lang w:eastAsia="hi-IN" w:bidi="hi-IN"/>
        </w:rPr>
        <w:t>Кодексом України про адміністративні правопорушення,</w:t>
      </w:r>
      <w:r>
        <w:rPr>
          <w:rFonts w:ascii="Times New Roman" w:hAnsi="Times New Roman"/>
          <w:sz w:val="28"/>
          <w:szCs w:val="28"/>
        </w:rPr>
        <w:t xml:space="preserve"> законами України </w:t>
      </w:r>
      <w:r>
        <w:rPr>
          <w:rFonts w:ascii="Times New Roman" w:hAnsi="Times New Roman"/>
          <w:sz w:val="28"/>
          <w:szCs w:val="28"/>
          <w:lang w:eastAsia="hi-IN" w:bidi="hi-IN"/>
        </w:rPr>
        <w:t>«Про політичні партії в Україні» та «Про запобігання корупції».</w:t>
      </w:r>
    </w:p>
    <w:p>
      <w:pPr>
        <w:pStyle w:val="Normal"/>
        <w:widowControl w:val="false"/>
        <w:suppressAutoHyphens w:val="true"/>
        <w:bidi w:val="0"/>
        <w:spacing w:before="0" w:after="0"/>
        <w:ind w:left="0" w:right="0" w:firstLine="550"/>
        <w:jc w:val="both"/>
        <w:textAlignment w:val="auto"/>
        <w:rPr/>
      </w:pPr>
      <w:r>
        <w:rPr>
          <w:rFonts w:ascii="Times New Roman" w:hAnsi="Times New Roman"/>
          <w:sz w:val="28"/>
          <w:szCs w:val="28"/>
          <w:lang w:eastAsia="hi-IN" w:bidi="hi-IN"/>
        </w:rPr>
        <w:t xml:space="preserve">Реалізація положень поданого законопроекту потребує внесення змін до інших законів. </w:t>
      </w:r>
    </w:p>
    <w:p>
      <w:pPr>
        <w:pStyle w:val="BodyTextIndent3"/>
        <w:widowControl/>
        <w:bidi w:val="0"/>
        <w:spacing w:before="0" w:after="0"/>
        <w:ind w:left="0" w:right="0" w:firstLine="550"/>
        <w:jc w:val="both"/>
        <w:textAlignment w:val="auto"/>
        <w:rPr>
          <w:rFonts w:ascii="Times New Roman" w:hAnsi="Times New Roman"/>
          <w:sz w:val="28"/>
        </w:rPr>
      </w:pPr>
      <w:r>
        <w:rPr>
          <w:rFonts w:ascii="Times New Roman" w:hAnsi="Times New Roman"/>
          <w:sz w:val="28"/>
        </w:rPr>
      </w:r>
    </w:p>
    <w:p>
      <w:pPr>
        <w:pStyle w:val="Normal"/>
        <w:widowControl/>
        <w:bidi w:val="0"/>
        <w:spacing w:before="0" w:after="0"/>
        <w:ind w:left="0" w:right="0" w:firstLine="550"/>
        <w:jc w:val="left"/>
        <w:textAlignment w:val="auto"/>
        <w:rPr/>
      </w:pPr>
      <w:r>
        <w:rPr>
          <w:rFonts w:ascii="Times New Roman" w:hAnsi="Times New Roman"/>
          <w:b/>
          <w:bCs/>
          <w:color w:val="000000"/>
          <w:sz w:val="28"/>
          <w:szCs w:val="28"/>
        </w:rPr>
        <w:t>5. Фінансово-економічне обґрунтування</w:t>
      </w:r>
    </w:p>
    <w:p>
      <w:pPr>
        <w:pStyle w:val="Normal"/>
        <w:widowControl/>
        <w:bidi w:val="0"/>
        <w:spacing w:before="0" w:after="0"/>
        <w:ind w:left="0" w:right="0" w:firstLine="550"/>
        <w:jc w:val="left"/>
        <w:textAlignment w:val="auto"/>
        <w:rPr>
          <w:rFonts w:ascii="Times New Roman" w:hAnsi="Times New Roman"/>
          <w:b/>
          <w:b/>
          <w:bCs/>
          <w:color w:val="000000"/>
          <w:sz w:val="28"/>
          <w:szCs w:val="28"/>
        </w:rPr>
      </w:pPr>
      <w:r>
        <w:rPr>
          <w:rFonts w:ascii="Times New Roman" w:hAnsi="Times New Roman"/>
          <w:b/>
          <w:bCs/>
          <w:color w:val="000000"/>
          <w:sz w:val="28"/>
          <w:szCs w:val="28"/>
        </w:rPr>
      </w:r>
    </w:p>
    <w:p>
      <w:pPr>
        <w:pStyle w:val="BodyTextIndent2"/>
        <w:widowControl/>
        <w:bidi w:val="0"/>
        <w:ind w:left="0" w:right="0" w:firstLine="550"/>
        <w:jc w:val="both"/>
        <w:textAlignment w:val="auto"/>
        <w:rPr/>
      </w:pPr>
      <w:r>
        <w:rPr>
          <w:rFonts w:cs="Times New Roman" w:ascii="Times New Roman" w:hAnsi="Times New Roman"/>
        </w:rPr>
        <w:t>Прийняття цього проекту Закону не потребує додаткових витрат з Державного бюджету України, навпаки  – його запровадження надасть додаткові кошти для реалізації соціально значущих видатків.</w:t>
      </w:r>
    </w:p>
    <w:p>
      <w:pPr>
        <w:pStyle w:val="Normal"/>
        <w:widowControl/>
        <w:bidi w:val="0"/>
        <w:spacing w:before="0" w:after="0"/>
        <w:ind w:left="0" w:right="0" w:firstLine="550"/>
        <w:jc w:val="center"/>
        <w:textAlignment w:val="auto"/>
        <w:rPr>
          <w:rFonts w:ascii="Times New Roman" w:hAnsi="Times New Roman"/>
          <w:sz w:val="28"/>
          <w:szCs w:val="16"/>
        </w:rPr>
      </w:pPr>
      <w:r>
        <w:rPr>
          <w:rFonts w:ascii="Times New Roman" w:hAnsi="Times New Roman"/>
          <w:sz w:val="28"/>
          <w:szCs w:val="16"/>
        </w:rPr>
      </w:r>
    </w:p>
    <w:p>
      <w:pPr>
        <w:pStyle w:val="Normal"/>
        <w:widowControl/>
        <w:bidi w:val="0"/>
        <w:spacing w:before="0" w:after="0"/>
        <w:ind w:left="0" w:right="0" w:firstLine="550"/>
        <w:jc w:val="left"/>
        <w:textAlignment w:val="auto"/>
        <w:rPr/>
      </w:pPr>
      <w:r>
        <w:rPr>
          <w:rFonts w:ascii="Times New Roman" w:hAnsi="Times New Roman"/>
          <w:b/>
          <w:sz w:val="28"/>
          <w:szCs w:val="28"/>
        </w:rPr>
        <w:t>6. Прогноз соціально-економічних наслідків прийняття акту</w:t>
      </w:r>
    </w:p>
    <w:p>
      <w:pPr>
        <w:pStyle w:val="Normal"/>
        <w:widowControl/>
        <w:bidi w:val="0"/>
        <w:spacing w:before="0" w:after="0"/>
        <w:ind w:left="0" w:right="0" w:firstLine="550"/>
        <w:jc w:val="left"/>
        <w:textAlignment w:val="auto"/>
        <w:rPr>
          <w:rFonts w:ascii="Times New Roman" w:hAnsi="Times New Roman"/>
          <w:b/>
          <w:b/>
          <w:sz w:val="28"/>
          <w:szCs w:val="28"/>
        </w:rPr>
      </w:pPr>
      <w:r>
        <w:rPr>
          <w:rFonts w:ascii="Times New Roman" w:hAnsi="Times New Roman"/>
          <w:b/>
          <w:sz w:val="28"/>
          <w:szCs w:val="28"/>
        </w:rPr>
      </w:r>
    </w:p>
    <w:p>
      <w:pPr>
        <w:pStyle w:val="Normal"/>
        <w:widowControl/>
        <w:bidi w:val="0"/>
        <w:spacing w:before="0" w:after="200"/>
        <w:ind w:left="0" w:right="0" w:firstLine="550"/>
        <w:jc w:val="both"/>
        <w:textAlignment w:val="auto"/>
        <w:rPr/>
      </w:pPr>
      <w:r>
        <w:rPr>
          <w:rFonts w:ascii="Times New Roman" w:hAnsi="Times New Roman"/>
          <w:sz w:val="28"/>
          <w:szCs w:val="28"/>
        </w:rPr>
        <w:t>Прийняття Закону України «Про внесення змін до деяких законодавчих актів України щодо скасування фінансування політичних партій з державного бюджету» дозволить спрямувати на фінансування соціально значущих видатків кошти державного бюджету після їх перерозподілу внаслідок  скасування державного фінансування політичних партій.</w:t>
      </w:r>
    </w:p>
    <w:p>
      <w:pPr>
        <w:pStyle w:val="Normal"/>
        <w:widowControl/>
        <w:bidi w:val="0"/>
        <w:spacing w:before="0" w:after="0"/>
        <w:ind w:left="0" w:right="0" w:firstLine="550"/>
        <w:jc w:val="both"/>
        <w:textAlignment w:val="auto"/>
        <w:rPr>
          <w:rFonts w:ascii="Times New Roman" w:hAnsi="Times New Roman"/>
          <w:b/>
          <w:b/>
          <w:bCs/>
          <w:sz w:val="28"/>
          <w:szCs w:val="28"/>
        </w:rPr>
      </w:pPr>
      <w:r>
        <w:rPr>
          <w:rFonts w:ascii="Times New Roman" w:hAnsi="Times New Roman"/>
          <w:b/>
          <w:bCs/>
          <w:sz w:val="28"/>
          <w:szCs w:val="28"/>
        </w:rPr>
      </w:r>
    </w:p>
    <w:p>
      <w:pPr>
        <w:pStyle w:val="Normal"/>
        <w:widowControl/>
        <w:bidi w:val="0"/>
        <w:spacing w:before="0" w:after="0"/>
        <w:ind w:left="0" w:right="0" w:firstLine="550"/>
        <w:jc w:val="both"/>
        <w:textAlignment w:val="auto"/>
        <w:rPr>
          <w:rFonts w:ascii="Times New Roman" w:hAnsi="Times New Roman"/>
          <w:b/>
          <w:b/>
          <w:bCs/>
          <w:sz w:val="28"/>
          <w:szCs w:val="28"/>
        </w:rPr>
      </w:pPr>
      <w:r>
        <w:rPr>
          <w:rFonts w:ascii="Times New Roman" w:hAnsi="Times New Roman"/>
          <w:b/>
          <w:bCs/>
          <w:sz w:val="28"/>
          <w:szCs w:val="28"/>
        </w:rPr>
      </w:r>
    </w:p>
    <w:p>
      <w:pPr>
        <w:pStyle w:val="Normal"/>
        <w:widowControl/>
        <w:bidi w:val="0"/>
        <w:spacing w:before="0" w:after="0"/>
        <w:ind w:left="0" w:right="0" w:firstLine="550"/>
        <w:jc w:val="both"/>
        <w:textAlignment w:val="auto"/>
        <w:rPr/>
      </w:pPr>
      <w:r>
        <w:rPr>
          <w:rFonts w:ascii="Times New Roman" w:hAnsi="Times New Roman"/>
          <w:b/>
          <w:bCs/>
          <w:sz w:val="28"/>
          <w:szCs w:val="28"/>
        </w:rPr>
        <w:t xml:space="preserve">Народний депутат України </w:t>
        <w:tab/>
        <w:tab/>
        <w:tab/>
        <w:t>О.О. Гончаренко</w:t>
      </w:r>
    </w:p>
    <w:p>
      <w:pPr>
        <w:pStyle w:val="Normal"/>
        <w:widowControl/>
        <w:bidi w:val="0"/>
        <w:spacing w:before="0" w:after="0"/>
        <w:ind w:left="0" w:right="0" w:firstLine="550"/>
        <w:jc w:val="both"/>
        <w:textAlignment w:val="auto"/>
        <w:rPr/>
      </w:pPr>
      <w:r>
        <w:rPr/>
      </w:r>
    </w:p>
    <w:sectPr>
      <w:headerReference w:type="default" r:id="rId2"/>
      <w:footerReference w:type="default" r:id="rId3"/>
      <w:type w:val="nextPage"/>
      <w:pgSz w:w="11906" w:h="16838"/>
      <w:pgMar w:left="1701" w:right="851" w:header="420" w:top="1134" w:footer="709" w:bottom="1134" w:gutter="0"/>
      <w:pgNumType w:fmt="decimal"/>
      <w:formProt w:val="false"/>
      <w:titlePg/>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Courier New">
    <w:charset w:val="cc"/>
    <w:family w:val="roman"/>
    <w:pitch w:val="variable"/>
  </w:font>
  <w:font w:name="Antiqua">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widowControl/>
      <w:tabs>
        <w:tab w:val="center" w:pos="4677" w:leader="none"/>
        <w:tab w:val="right" w:pos="9355" w:leader="none"/>
      </w:tabs>
      <w:bidi w:val="0"/>
      <w:spacing w:lineRule="auto" w:line="276" w:before="0" w:after="200"/>
      <w:ind w:left="0" w:right="360" w:hanging="0"/>
      <w:jc w:val="left"/>
      <w:textAlignment w:val="auto"/>
      <w:rPr>
        <w:rFonts w:ascii="Calibri" w:hAnsi="Calibri" w:cs="Times New Roman"/>
        <w:sz w:val="22"/>
        <w:szCs w:val="22"/>
        <w:lang w:val="uk-UA" w:eastAsia="en-US" w:bidi="ar-SA"/>
      </w:rPr>
    </w:pPr>
    <w:r>
      <w:rPr>
        <w:rFonts w:cs="Times New Roman"/>
        <w:sz w:val="22"/>
        <w:szCs w:val="22"/>
        <w:lang w:val="uk-UA" w:eastAsia="en-US" w:bidi="ar-SA"/>
      </w:rPr>
      <mc:AlternateContent>
        <mc:Choice Requires="wps">
          <w:drawing>
            <wp:anchor behindDoc="1" distT="0" distB="0" distL="0" distR="0" simplePos="0" locked="0" layoutInCell="1" allowOverlap="1" relativeHeight="4">
              <wp:simplePos x="0" y="0"/>
              <wp:positionH relativeFrom="margin">
                <wp:align>right</wp:align>
              </wp:positionH>
              <wp:positionV relativeFrom="paragraph">
                <wp:posOffset>635</wp:posOffset>
              </wp:positionV>
              <wp:extent cx="15240" cy="203835"/>
              <wp:effectExtent l="0" t="0" r="0" b="0"/>
              <wp:wrapTopAndBottom/>
              <wp:docPr id="1" name="Врезка1"/>
              <a:graphic xmlns:a="http://schemas.openxmlformats.org/drawingml/2006/main">
                <a:graphicData uri="http://schemas.microsoft.com/office/word/2010/wordprocessingShape">
                  <wps:wsp>
                    <wps:cNvSpPr/>
                    <wps:spPr>
                      <a:xfrm>
                        <a:off x="0" y="0"/>
                        <a:ext cx="14760" cy="203040"/>
                      </a:xfrm>
                      <a:prstGeom prst="rect">
                        <a:avLst/>
                      </a:prstGeom>
                      <a:noFill/>
                      <a:ln>
                        <a:noFill/>
                      </a:ln>
                    </wps:spPr>
                    <wps:style>
                      <a:lnRef idx="0"/>
                      <a:fillRef idx="0"/>
                      <a:effectRef idx="0"/>
                      <a:fontRef idx="minor"/>
                    </wps:style>
                    <wps:txbx>
                      <w:txbxContent>
                        <w:p>
                          <w:pPr>
                            <w:pStyle w:val="Style24"/>
                            <w:widowControl/>
                            <w:tabs>
                              <w:tab w:val="center" w:pos="4677" w:leader="none"/>
                              <w:tab w:val="right" w:pos="9355" w:leader="none"/>
                            </w:tabs>
                            <w:bidi w:val="0"/>
                            <w:spacing w:lineRule="auto" w:line="276" w:before="0" w:after="200"/>
                            <w:ind w:left="0" w:right="0" w:hanging="0"/>
                            <w:jc w:val="left"/>
                            <w:textAlignment w:val="auto"/>
                            <w:rPr>
                              <w:rStyle w:val="Pagenumber"/>
                              <w:color w:val="auto"/>
                            </w:rPr>
                          </w:pPr>
                          <w:r>
                            <w:rPr>
                              <w:rFonts w:cs="Times New Roman" w:ascii="Times New Roman" w:hAnsi="Times New Roman"/>
                              <w:sz w:val="28"/>
                              <w:szCs w:val="28"/>
                              <w:lang w:val="uk-UA" w:eastAsia="en-US" w:bidi="ar-SA"/>
                            </w:rPr>
                          </w:r>
                        </w:p>
                      </w:txbxContent>
                    </wps:txbx>
                    <wps:bodyPr lIns="0" rIns="0" tIns="0" bIns="0">
                      <a:spAutoFit/>
                    </wps:bodyPr>
                  </wps:wsp>
                </a:graphicData>
              </a:graphic>
            </wp:anchor>
          </w:drawing>
        </mc:Choice>
        <mc:Fallback>
          <w:pict>
            <v:rect id="shape_0" ID="Врезка1" fillcolor="white" stroked="f" style="position:absolute;margin-left:466.5pt;margin-top:0.05pt;width:1.1pt;height:15.95pt;mso-position-horizontal:right;mso-position-horizontal-relative:margin">
              <w10:wrap type="none"/>
              <v:fill o:detectmouseclick="t" type="solid" color2="black" opacity="0"/>
              <v:stroke color="#3465a4" joinstyle="round" endcap="flat"/>
              <v:textbox>
                <w:txbxContent>
                  <w:p>
                    <w:pPr>
                      <w:pStyle w:val="Style24"/>
                      <w:widowControl/>
                      <w:tabs>
                        <w:tab w:val="center" w:pos="4677" w:leader="none"/>
                        <w:tab w:val="right" w:pos="9355" w:leader="none"/>
                      </w:tabs>
                      <w:bidi w:val="0"/>
                      <w:spacing w:lineRule="auto" w:line="276" w:before="0" w:after="200"/>
                      <w:ind w:left="0" w:right="0" w:hanging="0"/>
                      <w:jc w:val="left"/>
                      <w:textAlignment w:val="auto"/>
                      <w:rPr>
                        <w:rStyle w:val="Pagenumber"/>
                        <w:color w:val="auto"/>
                      </w:rPr>
                    </w:pPr>
                    <w:r>
                      <w:rPr>
                        <w:rFonts w:cs="Times New Roman" w:ascii="Times New Roman" w:hAnsi="Times New Roman"/>
                        <w:sz w:val="28"/>
                        <w:szCs w:val="28"/>
                        <w:lang w:val="uk-UA" w:eastAsia="en-US" w:bidi="ar-SA"/>
                      </w:rPr>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widowControl/>
      <w:tabs>
        <w:tab w:val="center" w:pos="4677" w:leader="none"/>
        <w:tab w:val="right" w:pos="9355" w:leader="none"/>
      </w:tabs>
      <w:bidi w:val="0"/>
      <w:spacing w:lineRule="auto" w:line="276" w:before="0" w:after="200"/>
      <w:ind w:left="0" w:right="0" w:hanging="0"/>
      <w:jc w:val="center"/>
      <w:textAlignment w:val="auto"/>
      <w:rPr/>
    </w:pPr>
    <w:r>
      <w:rPr/>
      <w:fldChar w:fldCharType="begin"/>
    </w:r>
    <w:r>
      <w:instrText> PAGE </w:instrText>
    </w:r>
    <w:r>
      <w:fldChar w:fldCharType="separate"/>
    </w:r>
    <w:r>
      <w:t>4</w:t>
    </w:r>
    <w:r>
      <w:fldChar w:fldCharType="end"/>
    </w:r>
  </w:p>
</w:hdr>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bidi w:val="0"/>
      <w:spacing w:lineRule="auto" w:line="276" w:before="0" w:after="200"/>
      <w:ind w:left="0" w:right="0" w:hanging="0"/>
      <w:jc w:val="left"/>
      <w:textAlignment w:val="auto"/>
    </w:pPr>
    <w:rPr>
      <w:rFonts w:ascii="Calibri" w:hAnsi="Calibri" w:eastAsia="Courier New" w:cs="Times New Roman"/>
      <w:color w:val="00000A"/>
      <w:sz w:val="22"/>
      <w:szCs w:val="22"/>
      <w:lang w:val="uk-UA" w:eastAsia="en-US" w:bidi="ar-SA"/>
    </w:rPr>
  </w:style>
  <w:style w:type="paragraph" w:styleId="1">
    <w:name w:val="Heading 1"/>
    <w:basedOn w:val="Normal"/>
    <w:qFormat/>
    <w:pPr>
      <w:widowControl/>
      <w:spacing w:beforeAutospacing="1" w:afterAutospacing="1"/>
      <w:ind w:left="0" w:right="0" w:hanging="0"/>
      <w:jc w:val="left"/>
      <w:textAlignment w:val="auto"/>
      <w:outlineLvl w:val="0"/>
    </w:pPr>
    <w:rPr>
      <w:rFonts w:cs="Times New Roman"/>
      <w:b/>
      <w:bCs/>
      <w:sz w:val="48"/>
      <w:szCs w:val="48"/>
      <w:lang w:val="uk-UA" w:eastAsia="ru-RU" w:bidi="hi-IN"/>
    </w:rPr>
  </w:style>
  <w:style w:type="paragraph" w:styleId="2">
    <w:name w:val="Heading 2"/>
    <w:basedOn w:val="Normal"/>
    <w:qFormat/>
    <w:pPr>
      <w:keepNext/>
      <w:widowControl/>
      <w:spacing w:lineRule="auto" w:line="276" w:before="240" w:after="60"/>
      <w:ind w:left="0" w:right="0" w:hanging="0"/>
      <w:jc w:val="left"/>
      <w:textAlignment w:val="auto"/>
      <w:outlineLvl w:val="1"/>
    </w:pPr>
    <w:rPr>
      <w:rFonts w:ascii="Cambria" w:hAnsi="Cambria" w:cs="Times New Roman"/>
      <w:b/>
      <w:bCs/>
      <w:i/>
      <w:iCs/>
      <w:sz w:val="28"/>
      <w:szCs w:val="28"/>
      <w:lang w:val="uk-UA" w:eastAsia="en-US" w:bidi="ar-SA"/>
    </w:rPr>
  </w:style>
  <w:style w:type="character" w:styleId="DefaultParagraphFont">
    <w:name w:val="Default Paragraph Font"/>
    <w:qFormat/>
    <w:rPr/>
  </w:style>
  <w:style w:type="character" w:styleId="11">
    <w:name w:val="Заголовок 1 Знак"/>
    <w:basedOn w:val="DefaultParagraphFont"/>
    <w:qFormat/>
    <w:rPr>
      <w:rFonts w:ascii="Cambria" w:hAnsi="Cambria" w:cs="Times New Roman"/>
      <w:b/>
      <w:sz w:val="32"/>
      <w:lang w:val="ru-RU" w:eastAsia="en-US"/>
    </w:rPr>
  </w:style>
  <w:style w:type="character" w:styleId="21">
    <w:name w:val="Заголовок 2 Знак"/>
    <w:basedOn w:val="DefaultParagraphFont"/>
    <w:qFormat/>
    <w:rPr>
      <w:rFonts w:ascii="Cambria" w:hAnsi="Cambria" w:cs="Times New Roman"/>
      <w:b/>
      <w:bCs/>
      <w:i/>
      <w:iCs/>
      <w:sz w:val="28"/>
      <w:szCs w:val="28"/>
      <w:lang w:val="uk-UA" w:eastAsia="en-US"/>
    </w:rPr>
  </w:style>
  <w:style w:type="character" w:styleId="Style12">
    <w:name w:val="Текст выноски Знак"/>
    <w:basedOn w:val="DefaultParagraphFont"/>
    <w:qFormat/>
    <w:rPr>
      <w:rFonts w:ascii="Tahoma" w:hAnsi="Tahoma" w:cs="Times New Roman"/>
      <w:sz w:val="16"/>
      <w:lang w:val="uk-UA" w:eastAsia="en-US"/>
    </w:rPr>
  </w:style>
  <w:style w:type="character" w:styleId="HTML">
    <w:name w:val="Стандартный HTML Знак"/>
    <w:basedOn w:val="DefaultParagraphFont"/>
    <w:qFormat/>
    <w:rPr>
      <w:rFonts w:ascii="Courier New" w:hAnsi="Courier New" w:cs="Times New Roman"/>
      <w:color w:val="000000"/>
      <w:sz w:val="18"/>
      <w:lang w:val="uk-UA" w:eastAsia="uk-UA"/>
    </w:rPr>
  </w:style>
  <w:style w:type="character" w:styleId="Style13">
    <w:name w:val="Верхний колонтитул Знак"/>
    <w:basedOn w:val="DefaultParagraphFont"/>
    <w:qFormat/>
    <w:rPr>
      <w:rFonts w:cs="Times New Roman"/>
      <w:lang w:val="uk-UA" w:eastAsia="en-US"/>
    </w:rPr>
  </w:style>
  <w:style w:type="character" w:styleId="Style14">
    <w:name w:val="Нижний колонтитул Знак"/>
    <w:basedOn w:val="DefaultParagraphFont"/>
    <w:qFormat/>
    <w:rPr>
      <w:rFonts w:cs="Times New Roman"/>
      <w:lang w:val="uk-UA" w:eastAsia="en-US"/>
    </w:rPr>
  </w:style>
  <w:style w:type="character" w:styleId="Rvts23">
    <w:name w:val="rvts23"/>
    <w:qFormat/>
    <w:rPr/>
  </w:style>
  <w:style w:type="character" w:styleId="Rvts0">
    <w:name w:val="rvts0"/>
    <w:qFormat/>
    <w:rPr/>
  </w:style>
  <w:style w:type="character" w:styleId="22">
    <w:name w:val="Основной текст с отступом 2 Знак"/>
    <w:basedOn w:val="DefaultParagraphFont"/>
    <w:qFormat/>
    <w:rPr>
      <w:rFonts w:ascii="Cambria" w:hAnsi="Cambria" w:eastAsia="MS Mincho" w:cs="Cambria"/>
      <w:sz w:val="22"/>
      <w:szCs w:val="22"/>
      <w:lang w:val="uk-UA" w:eastAsia="uk-UA"/>
    </w:rPr>
  </w:style>
  <w:style w:type="character" w:styleId="Rvts44">
    <w:name w:val="rvts44"/>
    <w:qFormat/>
    <w:rPr/>
  </w:style>
  <w:style w:type="character" w:styleId="Rvts46">
    <w:name w:val="rvts46"/>
    <w:qFormat/>
    <w:rPr/>
  </w:style>
  <w:style w:type="character" w:styleId="Rvts11">
    <w:name w:val="rvts11"/>
    <w:qFormat/>
    <w:rPr/>
  </w:style>
  <w:style w:type="character" w:styleId="3">
    <w:name w:val="Основной текст с отступом 3 Знак"/>
    <w:basedOn w:val="DefaultParagraphFont"/>
    <w:qFormat/>
    <w:rPr>
      <w:rFonts w:cs="Times New Roman"/>
      <w:sz w:val="16"/>
      <w:szCs w:val="16"/>
      <w:lang w:val="uk-UA" w:eastAsia="en-US"/>
    </w:rPr>
  </w:style>
  <w:style w:type="character" w:styleId="Pagenumber">
    <w:name w:val="page number"/>
    <w:basedOn w:val="DefaultParagraphFont"/>
    <w:qFormat/>
    <w:rPr>
      <w:rFonts w:cs="Times New Roman"/>
    </w:rPr>
  </w:style>
  <w:style w:type="character" w:styleId="Rvts78">
    <w:name w:val="rvts78"/>
    <w:qFormat/>
    <w:rPr/>
  </w:style>
  <w:style w:type="character" w:styleId="Style15">
    <w:name w:val="Íîðìàëüíèé òåêñò Çíàê"/>
    <w:qFormat/>
    <w:rPr>
      <w:rFonts w:ascii="Antiqua" w:hAnsi="Antiqua"/>
      <w:sz w:val="20"/>
      <w:lang w:val="uk-UA" w:eastAsia="uk-UA"/>
    </w:rPr>
  </w:style>
  <w:style w:type="character" w:styleId="Rvts15">
    <w:name w:val="rvts15"/>
    <w:qFormat/>
    <w:rPr/>
  </w:style>
  <w:style w:type="character" w:styleId="Style16">
    <w:name w:val="Интернет-ссылка"/>
    <w:basedOn w:val="DefaultParagraphFont"/>
    <w:rPr>
      <w:rFonts w:cs="Times New Roman"/>
      <w:color w:val="0000FF"/>
      <w:u w:val="single"/>
    </w:rPr>
  </w:style>
  <w:style w:type="character" w:styleId="Rvts9">
    <w:name w:val="rvts9"/>
    <w:qFormat/>
    <w:rPr/>
  </w:style>
  <w:style w:type="character" w:styleId="Rvts37">
    <w:name w:val="rvts37"/>
    <w:qFormat/>
    <w:rPr/>
  </w:style>
  <w:style w:type="character" w:styleId="FollowedHyperlink">
    <w:name w:val="FollowedHyperlink"/>
    <w:basedOn w:val="DefaultParagraphFont"/>
    <w:qFormat/>
    <w:rPr>
      <w:rFonts w:cs="Times New Roman"/>
      <w:color w:val="800080"/>
      <w:u w:val="single"/>
    </w:rPr>
  </w:style>
  <w:style w:type="character" w:styleId="Style17">
    <w:name w:val="Выделение"/>
    <w:basedOn w:val="DefaultParagraphFont"/>
    <w:qFormat/>
    <w:rPr>
      <w:rFonts w:cs="Times New Roman"/>
      <w:i/>
      <w:iCs/>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paragraph" w:styleId="Style18">
    <w:name w:val="Заголовок"/>
    <w:basedOn w:val="Normal"/>
    <w:next w:val="Style19"/>
    <w:qFormat/>
    <w:pPr>
      <w:keepNext/>
      <w:spacing w:before="240" w:after="120"/>
    </w:pPr>
    <w:rPr>
      <w:rFonts w:ascii="Liberation Sans" w:hAnsi="Liberation Sans" w:eastAsia="Microsoft YaHei" w:cs="Arial"/>
      <w:sz w:val="28"/>
      <w:szCs w:val="28"/>
    </w:rPr>
  </w:style>
  <w:style w:type="paragraph" w:styleId="Style19">
    <w:name w:val="Body Text"/>
    <w:basedOn w:val="Normal"/>
    <w:pPr>
      <w:spacing w:lineRule="auto" w:line="288"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DocumentMap">
    <w:name w:val="DocumentMap"/>
    <w:qFormat/>
    <w:pPr>
      <w:widowControl/>
      <w:bidi w:val="0"/>
      <w:ind w:left="0" w:right="0" w:hanging="0"/>
      <w:jc w:val="left"/>
      <w:textAlignment w:val="auto"/>
    </w:pPr>
    <w:rPr>
      <w:rFonts w:ascii="Calibri" w:hAnsi="Calibri" w:eastAsia="Courier New" w:cs="Calibri"/>
      <w:color w:val="00000A"/>
      <w:sz w:val="20"/>
      <w:szCs w:val="20"/>
      <w:lang w:val="uk-UA" w:eastAsia="uk-UA" w:bidi="hi-IN"/>
    </w:rPr>
  </w:style>
  <w:style w:type="paragraph" w:styleId="BalloonText">
    <w:name w:val="Balloon Text"/>
    <w:basedOn w:val="Normal"/>
    <w:qFormat/>
    <w:pPr>
      <w:widowControl/>
      <w:ind w:left="0" w:right="0" w:hanging="0"/>
      <w:jc w:val="left"/>
      <w:textAlignment w:val="auto"/>
    </w:pPr>
    <w:rPr>
      <w:rFonts w:ascii="Tahoma" w:hAnsi="Tahoma" w:cs="Tahoma"/>
      <w:sz w:val="16"/>
      <w:szCs w:val="16"/>
      <w:lang w:val="uk-UA" w:eastAsia="en-US" w:bidi="ar-SA"/>
    </w:rPr>
  </w:style>
  <w:style w:type="paragraph" w:styleId="ListParagraph">
    <w:name w:val="List Paragraph"/>
    <w:basedOn w:val="Normal"/>
    <w:qFormat/>
    <w:pPr>
      <w:widowControl/>
      <w:spacing w:lineRule="auto" w:line="276" w:before="0" w:after="200"/>
      <w:ind w:left="720" w:right="0" w:hanging="0"/>
      <w:contextualSpacing/>
      <w:jc w:val="left"/>
      <w:textAlignment w:val="auto"/>
    </w:pPr>
    <w:rPr>
      <w:rFonts w:ascii="Calibri" w:hAnsi="Calibri" w:cs="Times New Roman"/>
      <w:sz w:val="22"/>
      <w:szCs w:val="22"/>
      <w:lang w:val="uk-UA" w:eastAsia="en-US" w:bidi="ar-SA"/>
    </w:rPr>
  </w:style>
  <w:style w:type="paragraph" w:styleId="HTMLPreformatted">
    <w:name w:val="HTML Preformatted"/>
    <w:basedOn w:val="Normal"/>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left="0" w:right="0" w:hanging="0"/>
      <w:jc w:val="left"/>
      <w:textAlignment w:val="auto"/>
    </w:pPr>
    <w:rPr>
      <w:rFonts w:ascii="Courier New" w:hAnsi="Courier New" w:cs="Courier New"/>
      <w:color w:val="000000"/>
      <w:sz w:val="18"/>
      <w:szCs w:val="18"/>
      <w:lang w:val="uk-UA" w:eastAsia="uk-UA" w:bidi="ar-SA"/>
    </w:rPr>
  </w:style>
  <w:style w:type="paragraph" w:styleId="Style23">
    <w:name w:val="Header"/>
    <w:basedOn w:val="Normal"/>
    <w:pPr>
      <w:widowControl/>
      <w:tabs>
        <w:tab w:val="center" w:pos="4677" w:leader="none"/>
        <w:tab w:val="right" w:pos="9355" w:leader="none"/>
      </w:tabs>
      <w:spacing w:lineRule="auto" w:line="276" w:before="0" w:after="200"/>
      <w:ind w:left="0" w:right="0" w:hanging="0"/>
      <w:jc w:val="left"/>
      <w:textAlignment w:val="auto"/>
    </w:pPr>
    <w:rPr>
      <w:rFonts w:ascii="Calibri" w:hAnsi="Calibri" w:cs="Times New Roman"/>
      <w:sz w:val="22"/>
      <w:szCs w:val="22"/>
      <w:lang w:val="uk-UA" w:eastAsia="en-US" w:bidi="ar-SA"/>
    </w:rPr>
  </w:style>
  <w:style w:type="paragraph" w:styleId="Style24">
    <w:name w:val="Footer"/>
    <w:basedOn w:val="Normal"/>
    <w:pPr>
      <w:widowControl/>
      <w:tabs>
        <w:tab w:val="center" w:pos="4677" w:leader="none"/>
        <w:tab w:val="right" w:pos="9355" w:leader="none"/>
      </w:tabs>
      <w:spacing w:lineRule="auto" w:line="276" w:before="0" w:after="200"/>
      <w:ind w:left="0" w:right="0" w:hanging="0"/>
      <w:jc w:val="left"/>
      <w:textAlignment w:val="auto"/>
    </w:pPr>
    <w:rPr>
      <w:rFonts w:ascii="Calibri" w:hAnsi="Calibri" w:cs="Times New Roman"/>
      <w:sz w:val="22"/>
      <w:szCs w:val="22"/>
      <w:lang w:val="uk-UA" w:eastAsia="en-US" w:bidi="ar-SA"/>
    </w:rPr>
  </w:style>
  <w:style w:type="paragraph" w:styleId="NormalWeb">
    <w:name w:val="Normal (Web)"/>
    <w:basedOn w:val="Normal"/>
    <w:qFormat/>
    <w:pPr>
      <w:widowControl/>
      <w:spacing w:beforeAutospacing="1" w:afterAutospacing="1"/>
      <w:ind w:left="0" w:right="0" w:hanging="0"/>
      <w:jc w:val="left"/>
      <w:textAlignment w:val="auto"/>
    </w:pPr>
    <w:rPr>
      <w:rFonts w:cs="Times New Roman"/>
      <w:sz w:val="24"/>
      <w:szCs w:val="24"/>
      <w:lang w:val="uk-UA" w:eastAsia="ru-RU" w:bidi="hi-IN"/>
    </w:rPr>
  </w:style>
  <w:style w:type="paragraph" w:styleId="Rvps2">
    <w:name w:val="rvps2"/>
    <w:basedOn w:val="Normal"/>
    <w:qFormat/>
    <w:pPr>
      <w:widowControl/>
      <w:spacing w:beforeAutospacing="1" w:afterAutospacing="1"/>
      <w:ind w:left="0" w:right="0" w:hanging="0"/>
      <w:jc w:val="left"/>
      <w:textAlignment w:val="auto"/>
    </w:pPr>
    <w:rPr>
      <w:rFonts w:cs="Times New Roman"/>
      <w:sz w:val="24"/>
      <w:szCs w:val="24"/>
      <w:lang w:val="uk-UA" w:eastAsia="ru-RU" w:bidi="hi-IN"/>
    </w:rPr>
  </w:style>
  <w:style w:type="paragraph" w:styleId="BodyTextIndent2">
    <w:name w:val="Body Text Indent 2"/>
    <w:basedOn w:val="Normal"/>
    <w:qFormat/>
    <w:pPr>
      <w:widowControl/>
      <w:ind w:left="0" w:right="0" w:firstLine="603"/>
      <w:jc w:val="both"/>
      <w:textAlignment w:val="auto"/>
    </w:pPr>
    <w:rPr>
      <w:rFonts w:ascii="Cambria" w:hAnsi="Cambria" w:eastAsia="MS Mincho" w:cs="Cambria"/>
      <w:sz w:val="28"/>
      <w:szCs w:val="22"/>
      <w:lang w:val="uk-UA" w:eastAsia="ru-RU" w:bidi="ar-SA"/>
    </w:rPr>
  </w:style>
  <w:style w:type="paragraph" w:styleId="Rvps6">
    <w:name w:val="rvps6"/>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Rvps7">
    <w:name w:val="rvps7"/>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Style25">
    <w:name w:val="Íîðìàëüíèé òåêñò"/>
    <w:basedOn w:val="Normal"/>
    <w:qFormat/>
    <w:pPr>
      <w:widowControl/>
      <w:spacing w:before="120" w:after="200"/>
      <w:ind w:left="0" w:right="0" w:firstLine="567"/>
      <w:jc w:val="both"/>
      <w:textAlignment w:val="auto"/>
    </w:pPr>
    <w:rPr>
      <w:rFonts w:ascii="Antiqua" w:hAnsi="Antiqua" w:cs="Times New Roman"/>
      <w:sz w:val="26"/>
      <w:szCs w:val="20"/>
      <w:lang w:val="uk-UA" w:eastAsia="ru-RU" w:bidi="ar-SA"/>
    </w:rPr>
  </w:style>
  <w:style w:type="paragraph" w:styleId="BodyTextIndent3">
    <w:name w:val="Body Text Indent 3"/>
    <w:basedOn w:val="Normal"/>
    <w:qFormat/>
    <w:pPr>
      <w:widowControl/>
      <w:spacing w:lineRule="auto" w:line="276" w:before="0" w:after="120"/>
      <w:ind w:left="283" w:right="0" w:hanging="0"/>
      <w:jc w:val="left"/>
      <w:textAlignment w:val="auto"/>
    </w:pPr>
    <w:rPr>
      <w:rFonts w:ascii="Calibri" w:hAnsi="Calibri" w:cs="Times New Roman"/>
      <w:sz w:val="16"/>
      <w:szCs w:val="16"/>
      <w:lang w:val="uk-UA" w:eastAsia="en-US" w:bidi="ar-SA"/>
    </w:rPr>
  </w:style>
  <w:style w:type="paragraph" w:styleId="NormalText">
    <w:name w:val="Normal Text"/>
    <w:basedOn w:val="Normal"/>
    <w:qFormat/>
    <w:pPr>
      <w:widowControl/>
      <w:spacing w:before="120" w:after="200"/>
      <w:ind w:left="0" w:right="0" w:firstLine="567"/>
      <w:jc w:val="both"/>
      <w:textAlignment w:val="auto"/>
    </w:pPr>
    <w:rPr>
      <w:rFonts w:ascii="Antiqua" w:hAnsi="Antiqua" w:cs="Antiqua"/>
      <w:sz w:val="26"/>
      <w:szCs w:val="26"/>
      <w:lang w:val="uk-UA" w:eastAsia="ru-RU" w:bidi="ar-SA"/>
    </w:rPr>
  </w:style>
  <w:style w:type="paragraph" w:styleId="Rvps17">
    <w:name w:val="rvps17"/>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NoSpacing">
    <w:name w:val="No Spacing"/>
    <w:qFormat/>
    <w:pPr>
      <w:widowControl/>
      <w:bidi w:val="0"/>
      <w:ind w:left="0" w:right="0" w:hanging="0"/>
      <w:jc w:val="left"/>
      <w:textAlignment w:val="auto"/>
    </w:pPr>
    <w:rPr>
      <w:rFonts w:ascii="Calibri" w:hAnsi="Calibri" w:eastAsia="Courier New" w:cs="Calibri"/>
      <w:color w:val="00000A"/>
      <w:sz w:val="22"/>
      <w:szCs w:val="22"/>
      <w:lang w:val="uk-UA" w:eastAsia="en-US" w:bidi="ar-SA"/>
    </w:rPr>
  </w:style>
  <w:style w:type="paragraph" w:styleId="Style26">
    <w:name w:val="Содержимое врезки"/>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LibreOffice/5.1.4.2$Windows_x86 LibreOffice_project/f99d75f39f1c57ebdd7ffc5f42867c12031db97a</Application>
  <Pages>4</Pages>
  <Words>865</Words>
  <Characters>5979</Characters>
  <CharactersWithSpaces>6848</CharactersWithSpaces>
  <Paragraphs>29</Paragraphs>
  <Company>Ya Blondinko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2019-08-14T17:18:00Z</dcterms:created>
  <dc:creator>Melnyk-t-v</dc:creator>
  <dc:description/>
  <dc:language>uk-UA</dc:language>
  <cp:lastModifiedBy/>
  <cp:lastPrinted>2019-08-16T13:37:00Z</cp:lastPrinted>
  <dcterms:modified xsi:type="dcterms:W3CDTF">2019-09-04T20:37:59Z</dcterms:modified>
  <cp:revision>7</cp:revision>
  <dc:subject/>
  <dc:title>ПОЯСНЮВАЛЬНА ЗАПИСКА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Ya Blondinko Edition</vt:lpwstr>
  </property>
  <property fmtid="{D5CDD505-2E9C-101B-9397-08002B2CF9AE}" pid="3" name="Operator">
    <vt:lpwstr>Deputat</vt:lpwstr>
  </property>
</Properties>
</file>