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p>
    <w:p w:rsidR="006F47AA" w:rsidRPr="00513AE8" w:rsidRDefault="006F47AA" w:rsidP="006F47AA">
      <w:pPr>
        <w:jc w:val="center"/>
        <w:rPr>
          <w:b/>
          <w:lang w:val="uk-UA"/>
        </w:rPr>
      </w:pPr>
      <w:r w:rsidRPr="00513AE8">
        <w:rPr>
          <w:b/>
          <w:lang w:val="uk-UA"/>
        </w:rPr>
        <w:t>ВИСНОВОК</w:t>
      </w:r>
    </w:p>
    <w:p w:rsidR="006F47AA" w:rsidRPr="00513AE8" w:rsidRDefault="006F47AA" w:rsidP="006F47AA">
      <w:pPr>
        <w:jc w:val="center"/>
        <w:rPr>
          <w:b/>
          <w:lang w:val="uk-UA"/>
        </w:rPr>
      </w:pPr>
      <w:r w:rsidRPr="00513AE8">
        <w:rPr>
          <w:b/>
          <w:lang w:val="uk-UA"/>
        </w:rPr>
        <w:t xml:space="preserve">Комітету Верховної Ради України з </w:t>
      </w:r>
      <w:r w:rsidR="00E17829" w:rsidRPr="00E17829">
        <w:rPr>
          <w:b/>
          <w:lang w:val="uk-UA"/>
        </w:rPr>
        <w:t>питань інтеграції України з Європейським Союзом</w:t>
      </w:r>
    </w:p>
    <w:p w:rsidR="006F47AA" w:rsidRPr="00513AE8" w:rsidRDefault="006F47AA" w:rsidP="006F47AA">
      <w:pPr>
        <w:jc w:val="center"/>
        <w:rPr>
          <w:lang w:val="uk-UA"/>
        </w:rPr>
      </w:pPr>
      <w:r w:rsidRPr="00513AE8">
        <w:rPr>
          <w:lang w:val="uk-UA"/>
        </w:rPr>
        <w:t>щодо проекту Закону України</w:t>
      </w:r>
    </w:p>
    <w:p w:rsidR="006F47AA" w:rsidRPr="00513AE8" w:rsidRDefault="006F47AA" w:rsidP="006F47AA">
      <w:pPr>
        <w:pStyle w:val="3"/>
        <w:jc w:val="center"/>
        <w:rPr>
          <w:sz w:val="28"/>
          <w:szCs w:val="28"/>
          <w:lang w:val="uk-UA"/>
        </w:rPr>
      </w:pPr>
      <w:r w:rsidRPr="00513AE8">
        <w:rPr>
          <w:sz w:val="28"/>
          <w:szCs w:val="28"/>
          <w:lang w:val="uk-UA"/>
        </w:rPr>
        <w:t>«</w:t>
      </w:r>
      <w:r w:rsidRPr="00513AE8">
        <w:rPr>
          <w:sz w:val="28"/>
          <w:szCs w:val="28"/>
        </w:rPr>
        <w:t xml:space="preserve">Про </w:t>
      </w:r>
      <w:proofErr w:type="spellStart"/>
      <w:r>
        <w:t>внесення</w:t>
      </w:r>
      <w:proofErr w:type="spellEnd"/>
      <w:r>
        <w:t xml:space="preserve"> </w:t>
      </w:r>
      <w:proofErr w:type="spellStart"/>
      <w:r>
        <w:t>змін</w:t>
      </w:r>
      <w:proofErr w:type="spellEnd"/>
      <w:r>
        <w:t xml:space="preserve"> до Закону </w:t>
      </w:r>
      <w:proofErr w:type="spellStart"/>
      <w:r>
        <w:t>України</w:t>
      </w:r>
      <w:proofErr w:type="spellEnd"/>
      <w:r>
        <w:t xml:space="preserve"> </w:t>
      </w:r>
      <w:r>
        <w:rPr>
          <w:lang w:val="uk-UA"/>
        </w:rPr>
        <w:t>«</w:t>
      </w:r>
      <w:r>
        <w:t xml:space="preserve">Про </w:t>
      </w:r>
      <w:proofErr w:type="spellStart"/>
      <w:r>
        <w:t>деякі</w:t>
      </w:r>
      <w:proofErr w:type="spellEnd"/>
      <w:r>
        <w:t xml:space="preserve"> </w:t>
      </w:r>
      <w:proofErr w:type="spellStart"/>
      <w:r>
        <w:t>питання</w:t>
      </w:r>
      <w:proofErr w:type="spellEnd"/>
      <w:r>
        <w:t xml:space="preserve"> </w:t>
      </w:r>
      <w:proofErr w:type="spellStart"/>
      <w:r>
        <w:t>ввезення</w:t>
      </w:r>
      <w:proofErr w:type="spellEnd"/>
      <w:r>
        <w:t xml:space="preserve"> на </w:t>
      </w:r>
      <w:proofErr w:type="spellStart"/>
      <w:r>
        <w:t>митну</w:t>
      </w:r>
      <w:proofErr w:type="spellEnd"/>
      <w:r>
        <w:t xml:space="preserve"> </w:t>
      </w:r>
      <w:proofErr w:type="spellStart"/>
      <w:r>
        <w:t>територію</w:t>
      </w:r>
      <w:proofErr w:type="spellEnd"/>
      <w:r>
        <w:t xml:space="preserve"> </w:t>
      </w:r>
      <w:proofErr w:type="spellStart"/>
      <w:r>
        <w:t>України</w:t>
      </w:r>
      <w:proofErr w:type="spellEnd"/>
      <w:r>
        <w:t xml:space="preserve"> та </w:t>
      </w:r>
      <w:proofErr w:type="spellStart"/>
      <w:r>
        <w:t>проведення</w:t>
      </w:r>
      <w:proofErr w:type="spellEnd"/>
      <w:r>
        <w:t xml:space="preserve"> </w:t>
      </w:r>
      <w:proofErr w:type="spellStart"/>
      <w:r>
        <w:t>першої</w:t>
      </w:r>
      <w:proofErr w:type="spellEnd"/>
      <w:r>
        <w:t xml:space="preserve"> </w:t>
      </w:r>
      <w:proofErr w:type="spellStart"/>
      <w:r>
        <w:t>державної</w:t>
      </w:r>
      <w:proofErr w:type="spellEnd"/>
      <w:r>
        <w:t xml:space="preserve"> </w:t>
      </w:r>
      <w:proofErr w:type="spellStart"/>
      <w:r>
        <w:t>реєстрації</w:t>
      </w:r>
      <w:proofErr w:type="spellEnd"/>
      <w:r>
        <w:t xml:space="preserve"> </w:t>
      </w:r>
      <w:proofErr w:type="spellStart"/>
      <w:r>
        <w:t>транспортних</w:t>
      </w:r>
      <w:proofErr w:type="spellEnd"/>
      <w:r>
        <w:t xml:space="preserve"> </w:t>
      </w:r>
      <w:proofErr w:type="spellStart"/>
      <w:r>
        <w:t>засобів</w:t>
      </w:r>
      <w:proofErr w:type="spellEnd"/>
      <w:r w:rsidR="00E17829">
        <w:rPr>
          <w:lang w:val="uk-UA"/>
        </w:rPr>
        <w:t>»</w:t>
      </w:r>
      <w:r>
        <w:t xml:space="preserve"> </w:t>
      </w:r>
      <w:proofErr w:type="spellStart"/>
      <w:r>
        <w:t>щодо</w:t>
      </w:r>
      <w:proofErr w:type="spellEnd"/>
      <w:r>
        <w:t xml:space="preserve"> </w:t>
      </w:r>
      <w:proofErr w:type="spellStart"/>
      <w:r>
        <w:t>міжнародних</w:t>
      </w:r>
      <w:proofErr w:type="spellEnd"/>
      <w:r>
        <w:t xml:space="preserve"> </w:t>
      </w:r>
      <w:proofErr w:type="spellStart"/>
      <w:r>
        <w:t>екологічних</w:t>
      </w:r>
      <w:proofErr w:type="spellEnd"/>
      <w:r>
        <w:t xml:space="preserve"> </w:t>
      </w:r>
      <w:proofErr w:type="spellStart"/>
      <w:r>
        <w:t>вимог</w:t>
      </w:r>
      <w:proofErr w:type="spellEnd"/>
      <w:r>
        <w:t xml:space="preserve"> для </w:t>
      </w:r>
      <w:proofErr w:type="spellStart"/>
      <w:r>
        <w:t>деяких</w:t>
      </w:r>
      <w:proofErr w:type="spellEnd"/>
      <w:r>
        <w:t xml:space="preserve"> </w:t>
      </w:r>
      <w:proofErr w:type="spellStart"/>
      <w:r>
        <w:t>транспортних</w:t>
      </w:r>
      <w:proofErr w:type="spellEnd"/>
      <w:r>
        <w:t xml:space="preserve"> </w:t>
      </w:r>
      <w:proofErr w:type="spellStart"/>
      <w:r>
        <w:t>засобів</w:t>
      </w:r>
      <w:proofErr w:type="spellEnd"/>
      <w:r w:rsidRPr="00513AE8">
        <w:rPr>
          <w:sz w:val="28"/>
          <w:szCs w:val="28"/>
          <w:lang w:val="uk-UA"/>
        </w:rPr>
        <w:t>»</w:t>
      </w:r>
    </w:p>
    <w:p w:rsidR="006F47AA" w:rsidRDefault="006F47AA" w:rsidP="006F47AA">
      <w:pPr>
        <w:jc w:val="center"/>
        <w:rPr>
          <w:lang w:val="uk-UA"/>
        </w:rPr>
      </w:pPr>
      <w:r w:rsidRPr="00513AE8">
        <w:rPr>
          <w:lang w:val="uk-UA"/>
        </w:rPr>
        <w:t>(р. № 2</w:t>
      </w:r>
      <w:r>
        <w:rPr>
          <w:lang w:val="uk-UA"/>
        </w:rPr>
        <w:t>078-1</w:t>
      </w:r>
      <w:r w:rsidRPr="00513AE8">
        <w:rPr>
          <w:lang w:val="uk-UA"/>
        </w:rPr>
        <w:t xml:space="preserve">, </w:t>
      </w:r>
      <w:proofErr w:type="spellStart"/>
      <w:r w:rsidRPr="00513AE8">
        <w:rPr>
          <w:lang w:val="uk-UA"/>
        </w:rPr>
        <w:t>н.д</w:t>
      </w:r>
      <w:proofErr w:type="spellEnd"/>
      <w:r w:rsidRPr="00513AE8">
        <w:rPr>
          <w:lang w:val="uk-UA"/>
        </w:rPr>
        <w:t xml:space="preserve">. </w:t>
      </w:r>
      <w:r>
        <w:rPr>
          <w:lang w:val="uk-UA"/>
        </w:rPr>
        <w:t>М</w:t>
      </w:r>
      <w:r w:rsidRPr="00513AE8">
        <w:rPr>
          <w:lang w:val="uk-UA"/>
        </w:rPr>
        <w:t>.</w:t>
      </w:r>
      <w:r w:rsidRPr="006F47AA">
        <w:rPr>
          <w:lang w:val="ru-RU"/>
        </w:rPr>
        <w:t xml:space="preserve"> </w:t>
      </w:r>
      <w:proofErr w:type="spellStart"/>
      <w:r w:rsidRPr="006F47AA">
        <w:rPr>
          <w:lang w:val="uk-UA"/>
        </w:rPr>
        <w:t>Заблоцький</w:t>
      </w:r>
      <w:proofErr w:type="spellEnd"/>
      <w:r w:rsidRPr="00513AE8">
        <w:rPr>
          <w:lang w:val="uk-UA"/>
        </w:rPr>
        <w:t>)</w:t>
      </w:r>
    </w:p>
    <w:p w:rsidR="006F47AA" w:rsidRPr="00513AE8" w:rsidRDefault="006F47AA" w:rsidP="006F47AA">
      <w:pPr>
        <w:jc w:val="center"/>
        <w:rPr>
          <w:lang w:val="uk-UA"/>
        </w:rPr>
      </w:pPr>
    </w:p>
    <w:p w:rsidR="006F47AA" w:rsidRPr="00513AE8" w:rsidRDefault="006F47AA" w:rsidP="006F47AA">
      <w:pPr>
        <w:numPr>
          <w:ilvl w:val="0"/>
          <w:numId w:val="1"/>
        </w:numPr>
        <w:tabs>
          <w:tab w:val="left" w:pos="360"/>
        </w:tabs>
        <w:ind w:left="0" w:firstLine="0"/>
        <w:jc w:val="both"/>
        <w:rPr>
          <w:b/>
          <w:i/>
          <w:lang w:val="uk-UA"/>
        </w:rPr>
      </w:pPr>
      <w:r w:rsidRPr="00513AE8">
        <w:rPr>
          <w:b/>
          <w:i/>
          <w:lang w:val="uk-UA"/>
        </w:rPr>
        <w:t>Загальна характеристика законопроекту.</w:t>
      </w:r>
    </w:p>
    <w:p w:rsidR="006F47AA" w:rsidRPr="006F47AA" w:rsidRDefault="006F47AA" w:rsidP="006F47AA">
      <w:pPr>
        <w:ind w:firstLine="709"/>
        <w:jc w:val="both"/>
        <w:rPr>
          <w:lang w:val="uk-UA"/>
        </w:rPr>
      </w:pPr>
      <w:r w:rsidRPr="00513AE8">
        <w:rPr>
          <w:lang w:val="uk-UA"/>
        </w:rPr>
        <w:t xml:space="preserve">Законопроектом пропонується </w:t>
      </w:r>
      <w:proofErr w:type="spellStart"/>
      <w:r w:rsidRPr="003A3990">
        <w:rPr>
          <w:lang w:val="uk-UA"/>
        </w:rPr>
        <w:t>внести</w:t>
      </w:r>
      <w:proofErr w:type="spellEnd"/>
      <w:r w:rsidRPr="003A3990">
        <w:rPr>
          <w:lang w:val="uk-UA"/>
        </w:rPr>
        <w:t xml:space="preserve"> зміни </w:t>
      </w:r>
      <w:r w:rsidRPr="003A3990">
        <w:rPr>
          <w:bCs/>
          <w:lang w:val="uk-UA"/>
        </w:rPr>
        <w:t>до статті 2 Закону України "Про деякі питання ввезення на митну територію України та проведення першої державної реєстрації транспортних засобів"</w:t>
      </w:r>
      <w:r w:rsidRPr="003A3990">
        <w:rPr>
          <w:lang w:val="uk-UA"/>
        </w:rPr>
        <w:t xml:space="preserve"> щодо</w:t>
      </w:r>
      <w:r w:rsidRPr="00BD7743">
        <w:rPr>
          <w:lang w:val="uk-UA"/>
        </w:rPr>
        <w:t xml:space="preserve"> можлив</w:t>
      </w:r>
      <w:r w:rsidR="00E17829">
        <w:rPr>
          <w:lang w:val="uk-UA"/>
        </w:rPr>
        <w:t>о</w:t>
      </w:r>
      <w:r w:rsidRPr="00BD7743">
        <w:rPr>
          <w:lang w:val="uk-UA"/>
        </w:rPr>
        <w:t xml:space="preserve">сті ввезення в Україну, виробництва та реєстрації після 1 січня 2020 року транспортних засобів, які виробленні в Україні або ввезенні на митну територію України до 31 грудня 2024 року включно та мають чинний сертифікат або інший документ про підтвердження відповідності, виданий згідно із законодавством України, який підтверджує, що конструкція даного транспортного засобу відповідає екологічним нормам не нижче рівня </w:t>
      </w:r>
      <w:r>
        <w:rPr>
          <w:lang w:val="uk-UA"/>
        </w:rPr>
        <w:t>"ЄВРО-</w:t>
      </w:r>
      <w:r w:rsidRPr="005B1CC1">
        <w:rPr>
          <w:lang w:val="uk-UA"/>
        </w:rPr>
        <w:t>5</w:t>
      </w:r>
      <w:r>
        <w:rPr>
          <w:lang w:val="uk-UA"/>
        </w:rPr>
        <w:t>"</w:t>
      </w:r>
      <w:r w:rsidRPr="00BD7743">
        <w:rPr>
          <w:lang w:val="uk-UA"/>
        </w:rPr>
        <w:t xml:space="preserve">. Відповідно пропуск на митну територію України з метою вільного обігу та першу державну реєстрацію в Україні транспортних засобів як вироблених в Україні, так і ввезених на митну територію України, здійснюватиметься за умови їх відповідності екологічним нормам не нижче рівня </w:t>
      </w:r>
      <w:r>
        <w:rPr>
          <w:lang w:val="uk-UA"/>
        </w:rPr>
        <w:t>"ЄВРО-6"</w:t>
      </w:r>
      <w:r w:rsidRPr="00BD7743">
        <w:rPr>
          <w:lang w:val="uk-UA"/>
        </w:rPr>
        <w:t xml:space="preserve"> – з 1 січня 2025 року</w:t>
      </w:r>
      <w:r w:rsidRPr="006F47AA">
        <w:rPr>
          <w:lang w:val="uk-UA"/>
        </w:rPr>
        <w:t xml:space="preserve">. </w:t>
      </w:r>
    </w:p>
    <w:p w:rsidR="006F47AA" w:rsidRPr="006F47AA" w:rsidRDefault="006F47AA" w:rsidP="006F47AA">
      <w:pPr>
        <w:jc w:val="both"/>
        <w:rPr>
          <w:lang w:val="uk-UA"/>
        </w:rPr>
      </w:pPr>
    </w:p>
    <w:p w:rsidR="006F47AA" w:rsidRPr="00513AE8" w:rsidRDefault="006F47AA" w:rsidP="006F47AA">
      <w:pPr>
        <w:jc w:val="both"/>
        <w:rPr>
          <w:b/>
          <w:i/>
          <w:lang w:val="uk-UA"/>
        </w:rPr>
      </w:pPr>
      <w:r w:rsidRPr="00513AE8">
        <w:rPr>
          <w:b/>
          <w:i/>
          <w:lang w:val="ru-RU"/>
        </w:rPr>
        <w:t>2.</w:t>
      </w:r>
      <w:r w:rsidRPr="00513AE8">
        <w:rPr>
          <w:b/>
          <w:i/>
          <w:lang w:val="uk-UA"/>
        </w:rPr>
        <w:t xml:space="preserve">Належність законопроекту за предметом правового регулювання до сфери дії законодавства ЄС, зобов’язань України в рамках </w:t>
      </w:r>
      <w:proofErr w:type="gramStart"/>
      <w:r w:rsidRPr="00513AE8">
        <w:rPr>
          <w:b/>
          <w:i/>
          <w:lang w:val="uk-UA"/>
        </w:rPr>
        <w:t>Ради</w:t>
      </w:r>
      <w:proofErr w:type="gramEnd"/>
      <w:r w:rsidRPr="00513AE8">
        <w:rPr>
          <w:b/>
          <w:i/>
          <w:lang w:val="uk-UA"/>
        </w:rPr>
        <w:t xml:space="preserve"> Європи, норм та принципів системи ГАТТ/СОТ.</w:t>
      </w:r>
    </w:p>
    <w:p w:rsidR="006F47AA" w:rsidRPr="00513AE8" w:rsidRDefault="006F47AA" w:rsidP="006F47AA">
      <w:pPr>
        <w:tabs>
          <w:tab w:val="left" w:pos="360"/>
        </w:tabs>
        <w:spacing w:before="120"/>
        <w:jc w:val="both"/>
        <w:rPr>
          <w:color w:val="000000"/>
          <w:spacing w:val="-1"/>
          <w:lang w:val="uk-UA"/>
        </w:rPr>
      </w:pPr>
      <w:r w:rsidRPr="00513AE8">
        <w:rPr>
          <w:lang w:val="uk-UA"/>
        </w:rPr>
        <w:tab/>
        <w:t xml:space="preserve">Проект Закону за предметом правового регулювання належить до сфер </w:t>
      </w:r>
      <w:r w:rsidRPr="00513AE8">
        <w:rPr>
          <w:b/>
          <w:lang w:val="uk-UA"/>
        </w:rPr>
        <w:t>митного права</w:t>
      </w:r>
      <w:r w:rsidRPr="00513AE8">
        <w:rPr>
          <w:lang w:val="uk-UA"/>
        </w:rPr>
        <w:t xml:space="preserve"> та </w:t>
      </w:r>
      <w:r w:rsidRPr="00513AE8">
        <w:rPr>
          <w:b/>
          <w:lang w:val="uk-UA"/>
        </w:rPr>
        <w:t>транспорту</w:t>
      </w:r>
      <w:r w:rsidRPr="00513AE8">
        <w:rPr>
          <w:lang w:val="uk-UA"/>
        </w:rPr>
        <w:t>, які відповідно до Закону України «Про Загальнодержавну програму адаптації законодавства</w:t>
      </w:r>
      <w:r w:rsidRPr="00513AE8">
        <w:rPr>
          <w:color w:val="000000"/>
          <w:spacing w:val="3"/>
          <w:lang w:val="uk-UA"/>
        </w:rPr>
        <w:t xml:space="preserve"> України до законодавства Європейського Союзу» </w:t>
      </w:r>
      <w:r w:rsidRPr="00513AE8">
        <w:rPr>
          <w:color w:val="000000"/>
          <w:spacing w:val="1"/>
          <w:lang w:val="uk-UA"/>
        </w:rPr>
        <w:t xml:space="preserve">від 18 березня 2004 року № 1629-IV належать до пріоритетних сфер, в яких </w:t>
      </w:r>
      <w:r w:rsidRPr="00513AE8">
        <w:rPr>
          <w:color w:val="000000"/>
          <w:spacing w:val="10"/>
          <w:lang w:val="uk-UA"/>
        </w:rPr>
        <w:t xml:space="preserve">здійснюється адаптація законодавства України до законодавства </w:t>
      </w:r>
      <w:r w:rsidRPr="00513AE8">
        <w:rPr>
          <w:color w:val="000000"/>
          <w:spacing w:val="-1"/>
          <w:lang w:val="uk-UA"/>
        </w:rPr>
        <w:t>Європейського Союзу.</w:t>
      </w:r>
    </w:p>
    <w:p w:rsidR="006F47AA" w:rsidRPr="00513AE8" w:rsidRDefault="006F47AA" w:rsidP="006F47AA">
      <w:pPr>
        <w:ind w:firstLine="360"/>
        <w:jc w:val="both"/>
        <w:rPr>
          <w:color w:val="000000"/>
          <w:spacing w:val="3"/>
          <w:lang w:val="uk-UA"/>
        </w:rPr>
      </w:pPr>
      <w:r w:rsidRPr="00513AE8">
        <w:rPr>
          <w:color w:val="000000"/>
          <w:spacing w:val="1"/>
          <w:lang w:val="uk-UA"/>
        </w:rPr>
        <w:t xml:space="preserve">В Європейському Союзі питання, що належать до сфери правового </w:t>
      </w:r>
      <w:r w:rsidRPr="00513AE8">
        <w:rPr>
          <w:color w:val="000000"/>
          <w:spacing w:val="3"/>
          <w:lang w:val="uk-UA"/>
        </w:rPr>
        <w:t>регулювання проекту Закону, регулюються:</w:t>
      </w:r>
    </w:p>
    <w:p w:rsidR="006F47AA" w:rsidRPr="00513AE8" w:rsidRDefault="006F47AA" w:rsidP="006F47AA">
      <w:pPr>
        <w:tabs>
          <w:tab w:val="left" w:pos="851"/>
        </w:tabs>
        <w:ind w:firstLine="567"/>
        <w:jc w:val="both"/>
        <w:rPr>
          <w:lang w:val="uk-UA"/>
        </w:rPr>
      </w:pPr>
      <w:r w:rsidRPr="00513AE8">
        <w:rPr>
          <w:lang w:val="uk-UA"/>
        </w:rPr>
        <w:lastRenderedPageBreak/>
        <w:t>1) Регламентом Європейського Парламенту та Ради (ЄС) № 715/2007 від 20 червня 2007 року про затвердження типу колісних транспортних засобів стосовно шкідливих викидів легких пасажирських транспортних засобів та транспортних засобів комерційного призначення (Євро-5 та Євро-6) і про доступ до інформації щодо ремонту та технічного обслуговування колісних транспортних засобів (OJ L 171, 29.6.2007, p. 1–16);</w:t>
      </w:r>
    </w:p>
    <w:p w:rsidR="006F47AA" w:rsidRPr="00513AE8" w:rsidRDefault="006F47AA" w:rsidP="006F47AA">
      <w:pPr>
        <w:tabs>
          <w:tab w:val="left" w:pos="851"/>
        </w:tabs>
        <w:ind w:firstLine="567"/>
        <w:jc w:val="both"/>
        <w:rPr>
          <w:lang w:val="uk-UA"/>
        </w:rPr>
      </w:pPr>
      <w:r w:rsidRPr="00513AE8">
        <w:rPr>
          <w:lang w:val="uk-UA"/>
        </w:rPr>
        <w:t>2)</w:t>
      </w:r>
      <w:r w:rsidRPr="00513AE8">
        <w:rPr>
          <w:lang w:val="uk-UA"/>
        </w:rPr>
        <w:tab/>
        <w:t xml:space="preserve">Директивою 2007/46/ЄС Європейського Парламенту та Ради від </w:t>
      </w:r>
      <w:r w:rsidRPr="00513AE8">
        <w:rPr>
          <w:lang w:val="uk-UA"/>
        </w:rPr>
        <w:br/>
        <w:t>5 вересня 2007 року, яка встановлює процедуру затвердження автотранспортних засобів та їхніх причепів, а також систем, компонентів та окремих технічних одиниць, які призначені для таких транспортних засобів (OJ L 263, 9.10.2007, p. 1–160).</w:t>
      </w:r>
    </w:p>
    <w:p w:rsidR="006F47AA" w:rsidRPr="00513AE8" w:rsidRDefault="006F47AA" w:rsidP="006F47AA">
      <w:pPr>
        <w:spacing w:before="120"/>
        <w:jc w:val="both"/>
        <w:rPr>
          <w:b/>
          <w:i/>
          <w:lang w:val="uk-UA"/>
        </w:rPr>
      </w:pPr>
      <w:r w:rsidRPr="00513AE8">
        <w:rPr>
          <w:b/>
          <w:i/>
          <w:lang w:val="uk-UA"/>
        </w:rPr>
        <w:t>3. Відповідність законопроекту праву ЄС, зобов’язанням України в рамках Ради Європи, нормам та принципам системи ГАТТ/СОТ.</w:t>
      </w:r>
      <w:r w:rsidRPr="00513AE8">
        <w:rPr>
          <w:b/>
          <w:i/>
          <w:lang w:val="uk-UA"/>
        </w:rPr>
        <w:tab/>
      </w:r>
    </w:p>
    <w:p w:rsidR="006F47AA" w:rsidRPr="00513AE8" w:rsidRDefault="006F47AA" w:rsidP="006F47AA">
      <w:pPr>
        <w:pStyle w:val="Default"/>
        <w:rPr>
          <w:sz w:val="28"/>
          <w:szCs w:val="28"/>
          <w:lang w:val="uk-UA"/>
        </w:rPr>
      </w:pPr>
      <w:r w:rsidRPr="00513AE8">
        <w:rPr>
          <w:sz w:val="28"/>
          <w:szCs w:val="28"/>
          <w:lang w:val="uk-UA"/>
        </w:rPr>
        <w:tab/>
      </w:r>
    </w:p>
    <w:p w:rsidR="006F47AA" w:rsidRPr="00513AE8" w:rsidRDefault="006F47AA" w:rsidP="006F47AA">
      <w:pPr>
        <w:ind w:firstLine="709"/>
        <w:jc w:val="both"/>
        <w:rPr>
          <w:lang w:val="uk-UA"/>
        </w:rPr>
      </w:pPr>
      <w:r w:rsidRPr="00513AE8">
        <w:rPr>
          <w:lang w:val="uk-UA"/>
        </w:rPr>
        <w:t>За предметом правового регулювання положення законопроекту охоплюються статтею 368 глави сьомої «Транспорт»</w:t>
      </w:r>
      <w:r w:rsidR="00EA4DEE">
        <w:rPr>
          <w:lang w:val="uk-UA"/>
        </w:rPr>
        <w:t>,</w:t>
      </w:r>
      <w:bookmarkStart w:id="0" w:name="_GoBack"/>
      <w:bookmarkEnd w:id="0"/>
      <w:r w:rsidRPr="00513AE8">
        <w:rPr>
          <w:lang w:val="uk-UA"/>
        </w:rPr>
        <w:t xml:space="preserve">  розділу </w:t>
      </w:r>
      <w:r w:rsidRPr="00513AE8">
        <w:t>V</w:t>
      </w:r>
      <w:r w:rsidRPr="00513AE8">
        <w:rPr>
          <w:lang w:val="uk-UA"/>
        </w:rPr>
        <w:t xml:space="preserve"> «Економічне і галузеве співробітництво», якою передбачається, що «с</w:t>
      </w:r>
      <w:r w:rsidRPr="00513AE8">
        <w:rPr>
          <w:rStyle w:val="rvts0"/>
          <w:lang w:val="uk-UA"/>
        </w:rPr>
        <w:t>півробітництво між Сторонами має на меті сприяння реструктуризації та оновленню транспортного сектору України і поступовій гармонізації діючих стандартів та політики з існуючими в ЄС.»</w:t>
      </w:r>
      <w:r w:rsidRPr="00513AE8">
        <w:rPr>
          <w:rStyle w:val="rvts0"/>
          <w:i/>
          <w:lang w:val="uk-UA"/>
        </w:rPr>
        <w:t xml:space="preserve"> </w:t>
      </w:r>
    </w:p>
    <w:p w:rsidR="006F47AA" w:rsidRPr="00513AE8" w:rsidRDefault="006F47AA" w:rsidP="006F47AA">
      <w:pPr>
        <w:ind w:firstLine="567"/>
        <w:jc w:val="both"/>
        <w:rPr>
          <w:lang w:val="uk-UA"/>
        </w:rPr>
      </w:pPr>
      <w:r w:rsidRPr="00513AE8">
        <w:rPr>
          <w:lang w:val="uk-UA"/>
        </w:rPr>
        <w:t xml:space="preserve">Комплексне вирішення природоохоронних проблем та зменшення пов’язаних з техногенним впливом транспорту на довкілля багатомільярдних щорічних економічних збитків є одним з етапів гармонізації національних екологічних вимог до колісних транспортних засобів з міжнародними (європейськими) вимогами та однією з необхідних передумов для інтеграції України до Європейського Союзу. У Європейському Союзі  встановлюються загальні технічні вимоги для затвердження типу колісних транспортних засобів (КТЗ) та змінних частин, таких як змінні прилади для контролювання забруднення, стосовно викидів, норми щодо експлуатаційної відповідності та ресурсу приладів контролю за забрудненням, бортових діагностичних (OBD) систем, вимірювання споживання палива та доступності інформації щодо ремонту й обслуговування КТЗ, встановлює граничні значення викидів за Євро-5 та за Євро-6, граничне значення для випробування щодо випаровування, граничні значення для шкідливих викидів </w:t>
      </w:r>
      <w:proofErr w:type="spellStart"/>
      <w:r w:rsidRPr="00513AE8">
        <w:rPr>
          <w:lang w:val="uk-UA"/>
        </w:rPr>
        <w:t>моноксиду</w:t>
      </w:r>
      <w:proofErr w:type="spellEnd"/>
      <w:r w:rsidRPr="00513AE8">
        <w:rPr>
          <w:lang w:val="uk-UA"/>
        </w:rPr>
        <w:t xml:space="preserve"> вуглецю та вуглеводнів щодо випробування двигуна після холодного старту, тощо.  «Євро-3» впроваджений у Європейському Союзі </w:t>
      </w:r>
      <w:r w:rsidRPr="00513AE8">
        <w:t>p</w:t>
      </w:r>
      <w:r w:rsidRPr="00513AE8">
        <w:rPr>
          <w:lang w:val="ru-RU"/>
        </w:rPr>
        <w:t xml:space="preserve"> </w:t>
      </w:r>
      <w:r w:rsidRPr="00513AE8">
        <w:rPr>
          <w:lang w:val="uk-UA"/>
        </w:rPr>
        <w:t>1999 року, Україна</w:t>
      </w:r>
      <w:r w:rsidRPr="00513AE8">
        <w:rPr>
          <w:b/>
          <w:lang w:val="uk-UA"/>
        </w:rPr>
        <w:t xml:space="preserve"> </w:t>
      </w:r>
      <w:r w:rsidRPr="00513AE8">
        <w:rPr>
          <w:rStyle w:val="a3"/>
          <w:b w:val="0"/>
          <w:lang w:val="uk-UA"/>
        </w:rPr>
        <w:t xml:space="preserve"> впровадила «Євро-3» лише у 2013 році, «Євро-4» – у 2014. Стандарт «Євро-5» діє в ЄС ще з 2010 року, а «Євро-6» з 2015 року</w:t>
      </w:r>
      <w:r w:rsidRPr="00513AE8">
        <w:rPr>
          <w:lang w:val="uk-UA"/>
        </w:rPr>
        <w:t xml:space="preserve">. </w:t>
      </w:r>
    </w:p>
    <w:p w:rsidR="006F47AA" w:rsidRPr="00513AE8" w:rsidRDefault="006F47AA" w:rsidP="006F47AA">
      <w:pPr>
        <w:ind w:firstLine="709"/>
        <w:jc w:val="both"/>
        <w:rPr>
          <w:spacing w:val="-4"/>
          <w:lang w:val="uk-UA"/>
        </w:rPr>
      </w:pPr>
      <w:r w:rsidRPr="00513AE8">
        <w:rPr>
          <w:lang w:val="uk-UA"/>
        </w:rPr>
        <w:t xml:space="preserve">Враховуючи зазначене, можна дійти до висновку, що законопроект не відповідає праву Європейського Союзу та уповільнює наближення національного законодавства до екологічних стандартів ЄС у сфері транспорту,  однак варто зауважити, що Україна не має </w:t>
      </w:r>
      <w:r w:rsidRPr="00513AE8">
        <w:rPr>
          <w:rStyle w:val="rvts0"/>
          <w:lang w:val="uk-UA"/>
        </w:rPr>
        <w:t xml:space="preserve">міжнародно-правових зобов’язань у сфері європейської інтеграції щодо часових рамок впровадження </w:t>
      </w:r>
      <w:r w:rsidRPr="00513AE8">
        <w:rPr>
          <w:lang w:val="uk-UA"/>
        </w:rPr>
        <w:t>екологічних стандартів, які регулюють вміст шкідливих речовин в вихлопних газах транспортних засобів</w:t>
      </w:r>
      <w:r w:rsidRPr="00513AE8">
        <w:rPr>
          <w:spacing w:val="-4"/>
          <w:lang w:val="uk-UA"/>
        </w:rPr>
        <w:t xml:space="preserve">. </w:t>
      </w:r>
    </w:p>
    <w:sectPr w:rsidR="006F47AA" w:rsidRPr="00513AE8" w:rsidSect="00411DBD">
      <w:pgSz w:w="11906" w:h="16838"/>
      <w:pgMar w:top="720" w:right="851"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altName w:val="Arial"/>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altName w:val="Century Gothic"/>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CF48A6"/>
    <w:multiLevelType w:val="hybridMultilevel"/>
    <w:tmpl w:val="754C4AE4"/>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7AA"/>
    <w:rsid w:val="003F6267"/>
    <w:rsid w:val="006F47AA"/>
    <w:rsid w:val="00BE62D4"/>
    <w:rsid w:val="00D83772"/>
    <w:rsid w:val="00E17829"/>
    <w:rsid w:val="00EA4D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2079"/>
  <w15:chartTrackingRefBased/>
  <w15:docId w15:val="{8677A382-8A64-4CAE-9078-DED9F0CF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7AA"/>
    <w:pPr>
      <w:spacing w:after="0" w:line="240" w:lineRule="auto"/>
    </w:pPr>
    <w:rPr>
      <w:rFonts w:ascii="Times New Roman" w:eastAsia="Times New Roman" w:hAnsi="Times New Roman" w:cs="Times New Roman"/>
      <w:sz w:val="28"/>
      <w:szCs w:val="28"/>
      <w:lang w:val="en-US" w:eastAsia="ru-RU"/>
    </w:rPr>
  </w:style>
  <w:style w:type="paragraph" w:styleId="2">
    <w:name w:val="heading 2"/>
    <w:basedOn w:val="a"/>
    <w:next w:val="a"/>
    <w:link w:val="20"/>
    <w:uiPriority w:val="9"/>
    <w:semiHidden/>
    <w:unhideWhenUsed/>
    <w:qFormat/>
    <w:rsid w:val="006F47A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6F47AA"/>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F47AA"/>
    <w:rPr>
      <w:rFonts w:ascii="Times New Roman" w:eastAsia="MS Mincho" w:hAnsi="Times New Roman" w:cs="Times New Roman"/>
      <w:b/>
      <w:bCs/>
      <w:sz w:val="27"/>
      <w:szCs w:val="27"/>
      <w:lang w:val="ru-RU" w:eastAsia="ja-JP"/>
    </w:rPr>
  </w:style>
  <w:style w:type="character" w:styleId="a3">
    <w:name w:val="Strong"/>
    <w:qFormat/>
    <w:rsid w:val="006F47AA"/>
    <w:rPr>
      <w:b/>
      <w:bCs/>
    </w:rPr>
  </w:style>
  <w:style w:type="paragraph" w:customStyle="1" w:styleId="Default">
    <w:name w:val="Default"/>
    <w:rsid w:val="006F47AA"/>
    <w:pPr>
      <w:autoSpaceDE w:val="0"/>
      <w:autoSpaceDN w:val="0"/>
      <w:adjustRightInd w:val="0"/>
      <w:spacing w:after="0" w:line="240" w:lineRule="auto"/>
    </w:pPr>
    <w:rPr>
      <w:rFonts w:ascii="Times New Roman" w:eastAsia="MS Mincho" w:hAnsi="Times New Roman" w:cs="Times New Roman"/>
      <w:color w:val="000000"/>
      <w:sz w:val="24"/>
      <w:szCs w:val="24"/>
      <w:lang w:val="ru-RU" w:eastAsia="ja-JP"/>
    </w:rPr>
  </w:style>
  <w:style w:type="character" w:customStyle="1" w:styleId="rvts0">
    <w:name w:val="rvts0"/>
    <w:rsid w:val="006F47AA"/>
  </w:style>
  <w:style w:type="character" w:customStyle="1" w:styleId="20">
    <w:name w:val="Заголовок 2 Знак"/>
    <w:basedOn w:val="a0"/>
    <w:link w:val="2"/>
    <w:uiPriority w:val="9"/>
    <w:semiHidden/>
    <w:rsid w:val="006F47AA"/>
    <w:rPr>
      <w:rFonts w:asciiTheme="majorHAnsi" w:eastAsiaTheme="majorEastAsia" w:hAnsiTheme="majorHAnsi" w:cstheme="majorBidi"/>
      <w:color w:val="2E74B5" w:themeColor="accent1" w:themeShade="BF"/>
      <w:sz w:val="26"/>
      <w:szCs w:val="26"/>
      <w:lang w:val="en-US" w:eastAsia="ru-RU"/>
    </w:rPr>
  </w:style>
  <w:style w:type="paragraph" w:styleId="a4">
    <w:name w:val="Balloon Text"/>
    <w:basedOn w:val="a"/>
    <w:link w:val="a5"/>
    <w:uiPriority w:val="99"/>
    <w:semiHidden/>
    <w:unhideWhenUsed/>
    <w:rsid w:val="00E17829"/>
    <w:rPr>
      <w:rFonts w:ascii="Segoe UI" w:hAnsi="Segoe UI" w:cs="Segoe UI"/>
      <w:sz w:val="18"/>
      <w:szCs w:val="18"/>
    </w:rPr>
  </w:style>
  <w:style w:type="character" w:customStyle="1" w:styleId="a5">
    <w:name w:val="Текст у виносці Знак"/>
    <w:basedOn w:val="a0"/>
    <w:link w:val="a4"/>
    <w:uiPriority w:val="99"/>
    <w:semiHidden/>
    <w:rsid w:val="00E17829"/>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0236725">
      <w:bodyDiv w:val="1"/>
      <w:marLeft w:val="0"/>
      <w:marRight w:val="0"/>
      <w:marTop w:val="0"/>
      <w:marBottom w:val="0"/>
      <w:divBdr>
        <w:top w:val="none" w:sz="0" w:space="0" w:color="auto"/>
        <w:left w:val="none" w:sz="0" w:space="0" w:color="auto"/>
        <w:bottom w:val="none" w:sz="0" w:space="0" w:color="auto"/>
        <w:right w:val="none" w:sz="0" w:space="0" w:color="auto"/>
      </w:divBdr>
    </w:div>
    <w:div w:id="213486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3131</Words>
  <Characters>1786</Characters>
  <Application>Microsoft Office Word</Application>
  <DocSecurity>0</DocSecurity>
  <Lines>14</Lines>
  <Paragraphs>9</Paragraphs>
  <ScaleCrop>false</ScaleCrop>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4</cp:revision>
  <cp:lastPrinted>2019-11-12T13:23:00Z</cp:lastPrinted>
  <dcterms:created xsi:type="dcterms:W3CDTF">2019-11-04T14:12:00Z</dcterms:created>
  <dcterms:modified xsi:type="dcterms:W3CDTF">2019-11-12T13:23:00Z</dcterms:modified>
</cp:coreProperties>
</file>