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6BF" w:rsidRPr="00E0048C" w:rsidRDefault="00A266BF" w:rsidP="00A266BF">
      <w:pPr>
        <w:jc w:val="center"/>
        <w:rPr>
          <w:rFonts w:eastAsia="Calibri"/>
          <w:b/>
          <w:sz w:val="28"/>
          <w:szCs w:val="28"/>
          <w:lang w:val="uk-UA"/>
        </w:rPr>
      </w:pPr>
      <w:bookmarkStart w:id="0" w:name="_GoBack"/>
      <w:bookmarkEnd w:id="0"/>
      <w:r w:rsidRPr="00E0048C">
        <w:rPr>
          <w:rFonts w:eastAsia="Calibri"/>
          <w:b/>
          <w:sz w:val="28"/>
          <w:szCs w:val="28"/>
          <w:lang w:val="uk-UA"/>
        </w:rPr>
        <w:t>ВИСНОВОК</w:t>
      </w:r>
    </w:p>
    <w:p w:rsidR="00A266BF" w:rsidRPr="00E0048C" w:rsidRDefault="00A266BF" w:rsidP="00A266BF">
      <w:pPr>
        <w:jc w:val="center"/>
        <w:rPr>
          <w:rFonts w:eastAsia="Calibri"/>
          <w:b/>
          <w:sz w:val="28"/>
          <w:szCs w:val="28"/>
          <w:lang w:val="uk-UA"/>
        </w:rPr>
      </w:pPr>
      <w:r w:rsidRPr="00E0048C">
        <w:rPr>
          <w:rFonts w:eastAsia="Calibri"/>
          <w:b/>
          <w:sz w:val="28"/>
          <w:szCs w:val="28"/>
          <w:lang w:val="uk-UA"/>
        </w:rPr>
        <w:t>Комітету Верховної Ради України з питань інтеграції України з Європейським Союзом</w:t>
      </w:r>
    </w:p>
    <w:p w:rsidR="00A266BF" w:rsidRPr="00E0048C" w:rsidRDefault="00A266BF" w:rsidP="00A266BF">
      <w:pPr>
        <w:jc w:val="center"/>
        <w:rPr>
          <w:rFonts w:eastAsia="Calibri"/>
          <w:b/>
          <w:sz w:val="28"/>
          <w:szCs w:val="28"/>
          <w:lang w:val="uk-UA"/>
        </w:rPr>
      </w:pPr>
      <w:r w:rsidRPr="00E0048C">
        <w:rPr>
          <w:rFonts w:eastAsia="Calibri"/>
          <w:b/>
          <w:sz w:val="28"/>
          <w:szCs w:val="28"/>
          <w:lang w:val="uk-UA"/>
        </w:rPr>
        <w:t xml:space="preserve">щодо проекту Закону України </w:t>
      </w:r>
    </w:p>
    <w:p w:rsidR="00A266BF" w:rsidRPr="00E0048C" w:rsidRDefault="00A266BF" w:rsidP="00A266BF">
      <w:pPr>
        <w:pStyle w:val="StyleZakonu"/>
        <w:spacing w:after="0" w:line="240" w:lineRule="auto"/>
        <w:ind w:firstLine="0"/>
        <w:jc w:val="center"/>
        <w:rPr>
          <w:b/>
          <w:sz w:val="28"/>
          <w:szCs w:val="28"/>
        </w:rPr>
      </w:pPr>
      <w:r w:rsidRPr="00E0048C">
        <w:rPr>
          <w:rFonts w:eastAsia="Calibri"/>
          <w:b/>
          <w:sz w:val="28"/>
          <w:szCs w:val="28"/>
        </w:rPr>
        <w:t xml:space="preserve">"Про внесення змін до Закону України "Про </w:t>
      </w:r>
      <w:r w:rsidRPr="00E0048C">
        <w:rPr>
          <w:b/>
          <w:sz w:val="28"/>
          <w:szCs w:val="28"/>
        </w:rPr>
        <w:t xml:space="preserve">внесення змін до деяких </w:t>
      </w:r>
    </w:p>
    <w:p w:rsidR="00A266BF" w:rsidRPr="00E0048C" w:rsidRDefault="00A266BF" w:rsidP="00A266BF">
      <w:pPr>
        <w:jc w:val="center"/>
        <w:rPr>
          <w:rFonts w:eastAsia="Calibri"/>
          <w:b/>
          <w:sz w:val="28"/>
          <w:szCs w:val="28"/>
          <w:lang w:val="uk-UA"/>
        </w:rPr>
      </w:pPr>
      <w:r w:rsidRPr="00E0048C">
        <w:rPr>
          <w:b/>
          <w:sz w:val="28"/>
          <w:szCs w:val="28"/>
          <w:lang w:val="uk-UA"/>
        </w:rPr>
        <w:t>законів України щодо посилення відповідальності та підвищення інформованості громадян у галузі обігу тютюнових виробів з метою збереження здоров'я нації</w:t>
      </w:r>
      <w:r w:rsidRPr="00E0048C">
        <w:rPr>
          <w:rFonts w:eastAsia="Calibri"/>
          <w:b/>
          <w:sz w:val="28"/>
          <w:szCs w:val="28"/>
          <w:lang w:val="uk-UA"/>
        </w:rPr>
        <w:t>"</w:t>
      </w:r>
    </w:p>
    <w:p w:rsidR="00A266BF" w:rsidRPr="00E0048C" w:rsidRDefault="00A266BF" w:rsidP="00A266BF">
      <w:pPr>
        <w:jc w:val="center"/>
        <w:rPr>
          <w:bCs/>
          <w:sz w:val="28"/>
          <w:szCs w:val="28"/>
          <w:lang w:val="uk-UA" w:eastAsia="en-US"/>
        </w:rPr>
      </w:pPr>
      <w:r w:rsidRPr="00E0048C">
        <w:rPr>
          <w:bCs/>
          <w:sz w:val="28"/>
          <w:szCs w:val="28"/>
          <w:lang w:val="uk-UA"/>
        </w:rPr>
        <w:t xml:space="preserve">(реєстр. № 2052-1, </w:t>
      </w:r>
      <w:proofErr w:type="spellStart"/>
      <w:r w:rsidRPr="00E0048C">
        <w:rPr>
          <w:bCs/>
          <w:sz w:val="28"/>
          <w:szCs w:val="28"/>
          <w:lang w:val="uk-UA"/>
        </w:rPr>
        <w:t>н.д</w:t>
      </w:r>
      <w:proofErr w:type="spellEnd"/>
      <w:r w:rsidRPr="00E0048C">
        <w:rPr>
          <w:bCs/>
          <w:sz w:val="28"/>
          <w:szCs w:val="28"/>
          <w:lang w:val="uk-UA"/>
        </w:rPr>
        <w:t xml:space="preserve">. </w:t>
      </w:r>
      <w:proofErr w:type="spellStart"/>
      <w:r w:rsidRPr="00E0048C">
        <w:rPr>
          <w:bCs/>
          <w:sz w:val="28"/>
          <w:szCs w:val="28"/>
          <w:lang w:val="uk-UA"/>
        </w:rPr>
        <w:t>Д.Чорний</w:t>
      </w:r>
      <w:proofErr w:type="spellEnd"/>
      <w:r w:rsidRPr="00E0048C">
        <w:rPr>
          <w:bCs/>
          <w:sz w:val="28"/>
          <w:szCs w:val="28"/>
          <w:lang w:val="uk-UA" w:eastAsia="en-US"/>
        </w:rPr>
        <w:t>)</w:t>
      </w:r>
    </w:p>
    <w:p w:rsidR="00A266BF" w:rsidRPr="00E0048C" w:rsidRDefault="00A266BF" w:rsidP="00A266BF">
      <w:pPr>
        <w:shd w:val="clear" w:color="auto" w:fill="FFFFFF"/>
        <w:ind w:firstLine="709"/>
        <w:textAlignment w:val="baseline"/>
        <w:rPr>
          <w:rFonts w:eastAsia="Calibri"/>
          <w:b/>
          <w:bCs/>
          <w:sz w:val="28"/>
          <w:szCs w:val="28"/>
          <w:lang w:val="uk-UA"/>
        </w:rPr>
      </w:pPr>
    </w:p>
    <w:p w:rsidR="00A266BF" w:rsidRPr="00E0048C" w:rsidRDefault="00A266BF" w:rsidP="00A266BF">
      <w:pPr>
        <w:shd w:val="clear" w:color="auto" w:fill="FFFFFF"/>
        <w:ind w:firstLine="709"/>
        <w:jc w:val="both"/>
        <w:textAlignment w:val="baseline"/>
        <w:rPr>
          <w:rFonts w:eastAsia="Calibri"/>
          <w:b/>
          <w:sz w:val="28"/>
          <w:szCs w:val="28"/>
          <w:lang w:val="uk-UA"/>
        </w:rPr>
      </w:pPr>
      <w:r w:rsidRPr="00E0048C">
        <w:rPr>
          <w:rFonts w:eastAsia="Calibri"/>
          <w:b/>
          <w:bCs/>
          <w:sz w:val="28"/>
          <w:szCs w:val="28"/>
          <w:lang w:val="uk-UA"/>
        </w:rPr>
        <w:t xml:space="preserve">1. </w:t>
      </w:r>
      <w:r w:rsidRPr="00E0048C">
        <w:rPr>
          <w:rFonts w:eastAsia="Calibri"/>
          <w:b/>
          <w:sz w:val="28"/>
          <w:szCs w:val="28"/>
          <w:lang w:val="uk-UA"/>
        </w:rPr>
        <w:t>Загальна характеристика законопроекту</w:t>
      </w:r>
    </w:p>
    <w:p w:rsidR="00A266BF" w:rsidRPr="00E0048C" w:rsidRDefault="00A266BF" w:rsidP="00A266BF">
      <w:pPr>
        <w:ind w:firstLine="567"/>
        <w:jc w:val="both"/>
        <w:rPr>
          <w:sz w:val="28"/>
          <w:szCs w:val="28"/>
          <w:lang w:val="uk-UA"/>
        </w:rPr>
      </w:pPr>
      <w:r w:rsidRPr="00E0048C">
        <w:rPr>
          <w:sz w:val="28"/>
          <w:szCs w:val="28"/>
          <w:lang w:val="uk-UA"/>
        </w:rPr>
        <w:t>Законопроект розроблено з метою зменшення вживання згаданих виробів, зокрема за рахунок підвищення відповідальності за порушення у цій сфері. Також, метою законопроекту є запровадження якісного та ефективного регулювання у сфері виробництва, обігу, заборони реклами та спонсорства тютюнових виробів, електронних сигарет і трав’яних виробів для куріння, наближеного до вимог законодавства Європейського Союзу.</w:t>
      </w:r>
    </w:p>
    <w:p w:rsidR="00A266BF" w:rsidRPr="00E0048C" w:rsidRDefault="00A266BF" w:rsidP="00A266BF">
      <w:pPr>
        <w:ind w:firstLine="720"/>
        <w:contextualSpacing/>
        <w:jc w:val="both"/>
        <w:rPr>
          <w:sz w:val="28"/>
          <w:szCs w:val="28"/>
          <w:lang w:val="uk-UA"/>
        </w:rPr>
      </w:pPr>
      <w:r w:rsidRPr="00E0048C">
        <w:rPr>
          <w:sz w:val="28"/>
          <w:szCs w:val="28"/>
          <w:lang w:val="uk-UA"/>
        </w:rPr>
        <w:t xml:space="preserve"> </w:t>
      </w:r>
    </w:p>
    <w:p w:rsidR="00A266BF" w:rsidRPr="00E0048C" w:rsidRDefault="00A266BF" w:rsidP="00A266BF">
      <w:pPr>
        <w:ind w:firstLine="720"/>
        <w:contextualSpacing/>
        <w:jc w:val="both"/>
        <w:rPr>
          <w:sz w:val="28"/>
          <w:szCs w:val="28"/>
          <w:lang w:val="uk-UA"/>
        </w:rPr>
      </w:pPr>
    </w:p>
    <w:p w:rsidR="00A266BF" w:rsidRPr="00E0048C" w:rsidRDefault="00A266BF" w:rsidP="00A266BF">
      <w:pPr>
        <w:ind w:firstLine="708"/>
        <w:jc w:val="both"/>
        <w:rPr>
          <w:b/>
          <w:sz w:val="28"/>
          <w:szCs w:val="28"/>
          <w:lang w:val="uk-UA"/>
        </w:rPr>
      </w:pPr>
      <w:r w:rsidRPr="00E0048C">
        <w:rPr>
          <w:b/>
          <w:sz w:val="28"/>
          <w:szCs w:val="28"/>
          <w:lang w:val="uk-UA"/>
        </w:rPr>
        <w:t>2. Належність законопроекту за предметом правового регулювання до сфери дії права Європейського Союзу</w:t>
      </w:r>
    </w:p>
    <w:p w:rsidR="00A266BF" w:rsidRPr="00E0048C" w:rsidRDefault="00A266BF" w:rsidP="00A266BF">
      <w:pPr>
        <w:ind w:firstLine="709"/>
        <w:jc w:val="both"/>
        <w:rPr>
          <w:sz w:val="28"/>
          <w:szCs w:val="28"/>
          <w:lang w:val="uk-UA"/>
        </w:rPr>
      </w:pPr>
      <w:r w:rsidRPr="00E0048C">
        <w:rPr>
          <w:sz w:val="28"/>
          <w:szCs w:val="28"/>
          <w:lang w:val="uk-UA"/>
        </w:rPr>
        <w:t xml:space="preserve">Правовідносини захисту здоров’я людини від шкідливого впливу тютюнопаління охоплюються  главою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E0048C">
        <w:rPr>
          <w:sz w:val="28"/>
          <w:szCs w:val="28"/>
          <w:lang w:val="uk-UA"/>
        </w:rPr>
        <w:t>хвороб</w:t>
      </w:r>
      <w:proofErr w:type="spellEnd"/>
      <w:r w:rsidRPr="00E0048C">
        <w:rPr>
          <w:sz w:val="28"/>
          <w:szCs w:val="28"/>
          <w:lang w:val="uk-UA"/>
        </w:rPr>
        <w:t xml:space="preserve">, служби крові, трансплантації тканин і клітин, </w:t>
      </w:r>
      <w:r w:rsidRPr="00E0048C">
        <w:rPr>
          <w:b/>
          <w:sz w:val="28"/>
          <w:szCs w:val="28"/>
          <w:lang w:val="uk-UA"/>
        </w:rPr>
        <w:t>а також тютюну</w:t>
      </w:r>
      <w:r w:rsidRPr="00E0048C">
        <w:rPr>
          <w:sz w:val="28"/>
          <w:szCs w:val="28"/>
          <w:lang w:val="uk-UA"/>
        </w:rPr>
        <w:t xml:space="preserve">. Перелік відповідних актів права ЄС визначено у Додатку XL до Угоди,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Україна повинна </w:t>
      </w:r>
      <w:proofErr w:type="spellStart"/>
      <w:r w:rsidRPr="00E0048C">
        <w:rPr>
          <w:sz w:val="28"/>
          <w:szCs w:val="28"/>
          <w:lang w:val="uk-UA"/>
        </w:rPr>
        <w:t>імплементувати</w:t>
      </w:r>
      <w:proofErr w:type="spellEnd"/>
      <w:r w:rsidRPr="00E0048C">
        <w:rPr>
          <w:sz w:val="28"/>
          <w:szCs w:val="28"/>
          <w:lang w:val="uk-UA"/>
        </w:rPr>
        <w:t xml:space="preserve">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w:t>
      </w:r>
    </w:p>
    <w:p w:rsidR="00A266BF" w:rsidRPr="00E0048C" w:rsidRDefault="00A266BF" w:rsidP="00A266BF">
      <w:pPr>
        <w:ind w:firstLine="708"/>
        <w:rPr>
          <w:b/>
          <w:sz w:val="28"/>
          <w:szCs w:val="28"/>
          <w:lang w:val="uk-UA"/>
        </w:rPr>
      </w:pPr>
    </w:p>
    <w:p w:rsidR="00A266BF" w:rsidRPr="00E0048C" w:rsidRDefault="00A266BF" w:rsidP="00A266BF">
      <w:pPr>
        <w:ind w:firstLine="708"/>
        <w:rPr>
          <w:b/>
          <w:sz w:val="28"/>
          <w:szCs w:val="28"/>
          <w:lang w:val="uk-UA"/>
        </w:rPr>
      </w:pPr>
      <w:r w:rsidRPr="00E0048C">
        <w:rPr>
          <w:b/>
          <w:sz w:val="28"/>
          <w:szCs w:val="28"/>
          <w:lang w:val="uk-UA"/>
        </w:rPr>
        <w:t>3. Відповідність законопроекту праву ЄС</w:t>
      </w:r>
    </w:p>
    <w:p w:rsidR="00A266BF" w:rsidRPr="00E0048C" w:rsidRDefault="00A266BF" w:rsidP="00A266BF">
      <w:pPr>
        <w:ind w:firstLine="709"/>
        <w:jc w:val="both"/>
        <w:rPr>
          <w:sz w:val="28"/>
          <w:szCs w:val="28"/>
          <w:lang w:val="uk-UA"/>
        </w:rPr>
      </w:pPr>
      <w:r w:rsidRPr="00E0048C">
        <w:rPr>
          <w:sz w:val="28"/>
          <w:szCs w:val="28"/>
          <w:lang w:val="uk-UA"/>
        </w:rPr>
        <w:t xml:space="preserve">В пояснювальній записці до законопроекту зазначається, що його прийняття дозволить повністю адаптувати вітчизняне законодавство до вимог Директиви 2001/37/ЄС, </w:t>
      </w:r>
      <w:proofErr w:type="spellStart"/>
      <w:r w:rsidRPr="00E0048C">
        <w:rPr>
          <w:sz w:val="28"/>
          <w:szCs w:val="28"/>
          <w:lang w:val="uk-UA"/>
        </w:rPr>
        <w:t>імплементувати</w:t>
      </w:r>
      <w:proofErr w:type="spellEnd"/>
      <w:r w:rsidRPr="00E0048C">
        <w:rPr>
          <w:sz w:val="28"/>
          <w:szCs w:val="28"/>
          <w:lang w:val="uk-UA"/>
        </w:rPr>
        <w:t xml:space="preserve"> більшу частину положень Директиви 2014/40/ЄС, а також забезпечить якісне та ефективне регулювання у сфері виробництва, обігу, заборони реклами та спонсорства тютюнових виробів, електронних сигарет і трав’яних виробів для куріння без втрати надходжень бюджету, втрати експортних можливостей виробників і створення шокового ефекту на ринку.</w:t>
      </w:r>
    </w:p>
    <w:p w:rsidR="00A266BF" w:rsidRPr="00E0048C" w:rsidRDefault="00A266BF" w:rsidP="00A266BF">
      <w:pPr>
        <w:ind w:firstLine="709"/>
        <w:jc w:val="both"/>
        <w:rPr>
          <w:sz w:val="28"/>
          <w:szCs w:val="28"/>
          <w:lang w:val="uk-UA"/>
        </w:rPr>
      </w:pPr>
      <w:r w:rsidRPr="00E0048C">
        <w:rPr>
          <w:sz w:val="28"/>
          <w:szCs w:val="28"/>
          <w:lang w:val="uk-UA"/>
        </w:rPr>
        <w:lastRenderedPageBreak/>
        <w:t xml:space="preserve">Варто зазначити, що Директива №2001/37/ЄС втратила чинність у зв’язку 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що припиняє дію Директиви 2001/37/ЄС» та відображає останні наукові дослідження в сфері охорони здоров’я, а також встановлює, серед іншого, більш жорсткі вимоги до маркування тютюнових виробів. </w:t>
      </w:r>
    </w:p>
    <w:p w:rsidR="00A266BF" w:rsidRPr="00E0048C" w:rsidRDefault="00A266BF" w:rsidP="00A266BF">
      <w:pPr>
        <w:ind w:firstLine="709"/>
        <w:jc w:val="both"/>
        <w:rPr>
          <w:sz w:val="28"/>
          <w:szCs w:val="28"/>
          <w:lang w:val="uk-UA"/>
        </w:rPr>
      </w:pPr>
      <w:r w:rsidRPr="00E0048C">
        <w:rPr>
          <w:sz w:val="28"/>
          <w:szCs w:val="28"/>
          <w:lang w:val="uk-UA"/>
        </w:rPr>
        <w:t>Метою Директиви 2014/40/ЄС є наближення законів, підзаконних та адміністративних положень держав-членів стосовно:</w:t>
      </w:r>
      <w:r w:rsidRPr="00E0048C">
        <w:rPr>
          <w:sz w:val="28"/>
          <w:szCs w:val="28"/>
          <w:lang w:val="uk-UA"/>
        </w:rPr>
        <w:tab/>
        <w:t xml:space="preserve"> інгредієнтів тютюнових виробів і шкідливих викидів, а також пов'язаних з ними зобов’язань щодо подання звітності, в тому числі максимально можливих рівнів викидів смол, нікотину та </w:t>
      </w:r>
      <w:proofErr w:type="spellStart"/>
      <w:r w:rsidRPr="00E0048C">
        <w:rPr>
          <w:sz w:val="28"/>
          <w:szCs w:val="28"/>
          <w:lang w:val="uk-UA"/>
        </w:rPr>
        <w:t>монооксиду</w:t>
      </w:r>
      <w:proofErr w:type="spellEnd"/>
      <w:r w:rsidRPr="00E0048C">
        <w:rPr>
          <w:sz w:val="28"/>
          <w:szCs w:val="28"/>
          <w:lang w:val="uk-UA"/>
        </w:rPr>
        <w:t xml:space="preserve"> вуглецю для сигарет;</w:t>
      </w:r>
      <w:r w:rsidRPr="00E0048C">
        <w:rPr>
          <w:sz w:val="28"/>
          <w:szCs w:val="28"/>
          <w:lang w:val="uk-UA"/>
        </w:rPr>
        <w:tab/>
        <w:t>деяких аспектів маркування та пакування тютюнових виробів, включаючи попередження про шкоду для здоров’я, що містяться на пачках тютюнових виробів і на будь-якій зовнішній упаковці, а також відстеження елементів захисту, які застосовуються до тютюнових виробів для забезпечення їх відповідності цій Директиві; заборони на розміщення на ринку тютюну для перорального застосування; зобов'язань надавати повідомлення про нові тютюнові вироби;</w:t>
      </w:r>
      <w:r w:rsidRPr="00E0048C">
        <w:rPr>
          <w:sz w:val="28"/>
          <w:szCs w:val="28"/>
          <w:lang w:val="uk-UA"/>
        </w:rPr>
        <w:tab/>
        <w:t>розміщення на ринку та маркування окремих продуктів, які пов'язані з тютюновими виробами, а саме електронних сигарет і заправних контейнерів, а також трав'яних виробів, призначених для куріння.</w:t>
      </w:r>
    </w:p>
    <w:p w:rsidR="00A266BF" w:rsidRPr="00E0048C" w:rsidRDefault="00A266BF" w:rsidP="00A266BF">
      <w:pPr>
        <w:ind w:firstLine="567"/>
        <w:jc w:val="both"/>
        <w:rPr>
          <w:sz w:val="28"/>
          <w:szCs w:val="28"/>
          <w:lang w:val="uk-UA"/>
        </w:rPr>
      </w:pPr>
      <w:r w:rsidRPr="00E0048C">
        <w:rPr>
          <w:sz w:val="28"/>
          <w:szCs w:val="28"/>
          <w:lang w:val="uk-UA"/>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прийняла рішення про необхідність імплементації Директиви 2014/40/ЄС.</w:t>
      </w:r>
    </w:p>
    <w:p w:rsidR="00A266BF" w:rsidRPr="00E0048C" w:rsidRDefault="00A266BF" w:rsidP="00A266BF">
      <w:pPr>
        <w:ind w:firstLine="567"/>
        <w:jc w:val="both"/>
        <w:rPr>
          <w:sz w:val="28"/>
          <w:szCs w:val="28"/>
          <w:lang w:val="uk-UA"/>
        </w:rPr>
      </w:pPr>
      <w:r w:rsidRPr="00E0048C">
        <w:rPr>
          <w:sz w:val="28"/>
          <w:szCs w:val="28"/>
          <w:lang w:val="uk-UA"/>
        </w:rPr>
        <w:t xml:space="preserve">Постановою передбачено розроблення Міністерством охорони здоров’я спільно з Мінекономіки та Мінфіном законопроекту про внесення відповідних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подання на розгляд Кабінету Міністрів України до 20 березня 2018 року. </w:t>
      </w:r>
    </w:p>
    <w:p w:rsidR="00A266BF" w:rsidRPr="00E0048C" w:rsidRDefault="00A266BF" w:rsidP="00A266BF">
      <w:pPr>
        <w:ind w:firstLine="567"/>
        <w:jc w:val="both"/>
        <w:rPr>
          <w:sz w:val="28"/>
          <w:szCs w:val="28"/>
          <w:lang w:val="uk-UA"/>
        </w:rPr>
      </w:pPr>
      <w:r w:rsidRPr="00E0048C">
        <w:rPr>
          <w:sz w:val="28"/>
          <w:szCs w:val="28"/>
          <w:lang w:val="uk-UA"/>
        </w:rPr>
        <w:t xml:space="preserve">Положення такого законопроекту мали передбачати наближення національного законодавства до вимог Директиви 2014/40/ЄС в частині: встановлення обов’язку виробників та експортерів інформувати уповноважені державні органи про склад трав’яних сумішей для куріння; встановлення правил виробництва і продажу електронних сигарет та заправних контейнерів для них; заборони виробництва та продажу тютюнових виробів із смаковими добавками, інформація про які може вводити в оману споживача; заборони виробництва та продажу тютюну перорального вжитку; приведення процедури сертифікації тютюнових виробів у відповідність із нормами ЄС; забезпечення обміну інформацією між виробниками та імпортерами тютюнових виробів і уповноваженими державними органами; посилення вимог до маркування упаковки тютюнових виробів та трав’яних сумішей для куріння, а також  встановлення граничного </w:t>
      </w:r>
      <w:r w:rsidRPr="00E0048C">
        <w:rPr>
          <w:sz w:val="28"/>
          <w:szCs w:val="28"/>
          <w:lang w:val="uk-UA"/>
        </w:rPr>
        <w:lastRenderedPageBreak/>
        <w:t xml:space="preserve">вмісту смоли, нікотину та </w:t>
      </w:r>
      <w:proofErr w:type="spellStart"/>
      <w:r w:rsidRPr="00E0048C">
        <w:rPr>
          <w:sz w:val="28"/>
          <w:szCs w:val="28"/>
          <w:lang w:val="uk-UA"/>
        </w:rPr>
        <w:t>моно</w:t>
      </w:r>
      <w:r w:rsidR="00E0048C">
        <w:rPr>
          <w:sz w:val="28"/>
          <w:szCs w:val="28"/>
          <w:lang w:val="uk-UA"/>
        </w:rPr>
        <w:t>о</w:t>
      </w:r>
      <w:r w:rsidRPr="00E0048C">
        <w:rPr>
          <w:sz w:val="28"/>
          <w:szCs w:val="28"/>
          <w:lang w:val="uk-UA"/>
        </w:rPr>
        <w:t>ксиду</w:t>
      </w:r>
      <w:proofErr w:type="spellEnd"/>
      <w:r w:rsidRPr="00E0048C">
        <w:rPr>
          <w:sz w:val="28"/>
          <w:szCs w:val="28"/>
          <w:lang w:val="uk-UA"/>
        </w:rPr>
        <w:t xml:space="preserve"> вуглецю у тютюнових виробах  відповідно до норм ЄС. </w:t>
      </w:r>
    </w:p>
    <w:p w:rsidR="00A266BF" w:rsidRPr="00E0048C" w:rsidRDefault="00A266BF" w:rsidP="00A266BF">
      <w:pPr>
        <w:ind w:firstLine="567"/>
        <w:jc w:val="both"/>
        <w:rPr>
          <w:sz w:val="28"/>
          <w:szCs w:val="28"/>
          <w:lang w:val="uk-UA"/>
        </w:rPr>
      </w:pPr>
      <w:r w:rsidRPr="00E0048C">
        <w:rPr>
          <w:sz w:val="28"/>
          <w:szCs w:val="28"/>
          <w:lang w:val="uk-UA"/>
        </w:rPr>
        <w:t xml:space="preserve">Законопроект реєстр. № 2052-1, поданий народним депутатом України </w:t>
      </w:r>
      <w:proofErr w:type="spellStart"/>
      <w:r w:rsidRPr="00E0048C">
        <w:rPr>
          <w:sz w:val="28"/>
          <w:szCs w:val="28"/>
          <w:lang w:val="uk-UA"/>
        </w:rPr>
        <w:t>Д.Чорним</w:t>
      </w:r>
      <w:proofErr w:type="spellEnd"/>
      <w:r w:rsidRPr="00E0048C">
        <w:rPr>
          <w:sz w:val="28"/>
          <w:szCs w:val="28"/>
          <w:lang w:val="uk-UA"/>
        </w:rPr>
        <w:t xml:space="preserve">,  не суперечить положенням статей 426 - 427 Угоди про асоціацію, які закріплюють зобов’язання України щодо співробітництва в галузі охорони здоров’я з метою підвищення рівня його безпеки та захисту здоров’я людини як передумови сталого розвитку та економічного зростання. Таке співробітництво, серед іншого, охоплює попередження та контроль за неінфекційними хворобами шляхом обміну інформацією та найкращими практиками, пропагування здорового способу життя, визначення основних детермінант здоров’я та проблем в галузі охорони здоров’я, зокрема, наркотична та тютюнова залежність. Крім того, стаття 428 Угоди про асоціацію передбачає поступове наближення законодавства та практики України до принципів </w:t>
      </w:r>
      <w:proofErr w:type="spellStart"/>
      <w:r w:rsidRPr="00E0048C">
        <w:rPr>
          <w:sz w:val="28"/>
          <w:szCs w:val="28"/>
          <w:lang w:val="uk-UA"/>
        </w:rPr>
        <w:t>acquis</w:t>
      </w:r>
      <w:proofErr w:type="spellEnd"/>
      <w:r w:rsidRPr="00E0048C">
        <w:rPr>
          <w:sz w:val="28"/>
          <w:szCs w:val="28"/>
          <w:lang w:val="uk-UA"/>
        </w:rPr>
        <w:t xml:space="preserve"> ЄС, зокрема, у сфері інфекційних </w:t>
      </w:r>
      <w:proofErr w:type="spellStart"/>
      <w:r w:rsidRPr="00E0048C">
        <w:rPr>
          <w:sz w:val="28"/>
          <w:szCs w:val="28"/>
          <w:lang w:val="uk-UA"/>
        </w:rPr>
        <w:t>хвороб</w:t>
      </w:r>
      <w:proofErr w:type="spellEnd"/>
      <w:r w:rsidRPr="00E0048C">
        <w:rPr>
          <w:sz w:val="28"/>
          <w:szCs w:val="28"/>
          <w:lang w:val="uk-UA"/>
        </w:rPr>
        <w:t>, служб крові, трансплантації тканин і клітин, а також тютюну.</w:t>
      </w:r>
    </w:p>
    <w:p w:rsidR="00A266BF" w:rsidRPr="00E0048C" w:rsidRDefault="00A266BF" w:rsidP="00A266BF">
      <w:pPr>
        <w:ind w:firstLine="567"/>
        <w:jc w:val="both"/>
        <w:rPr>
          <w:sz w:val="28"/>
          <w:szCs w:val="28"/>
          <w:lang w:val="uk-UA"/>
        </w:rPr>
      </w:pPr>
      <w:r w:rsidRPr="00E0048C">
        <w:rPr>
          <w:sz w:val="28"/>
          <w:szCs w:val="28"/>
          <w:lang w:val="uk-UA"/>
        </w:rPr>
        <w:t xml:space="preserve">Так, законопроектом пропонується залишити незмінним непоширення заборони на виробництво, оптову та роздрібну торгівлю та імпорт для реалізації на території України сигарет, в яких показники вмісту в диму однієї сигарети перевищують: нікотину 1,0 мг, смоли - 10 мг, </w:t>
      </w:r>
      <w:proofErr w:type="spellStart"/>
      <w:r w:rsidRPr="00E0048C">
        <w:rPr>
          <w:sz w:val="28"/>
          <w:szCs w:val="28"/>
          <w:lang w:val="uk-UA"/>
        </w:rPr>
        <w:t>монооксиду</w:t>
      </w:r>
      <w:proofErr w:type="spellEnd"/>
      <w:r w:rsidRPr="00E0048C">
        <w:rPr>
          <w:sz w:val="28"/>
          <w:szCs w:val="28"/>
          <w:lang w:val="uk-UA"/>
        </w:rPr>
        <w:t xml:space="preserve"> вуглецю – 10 мг на виробництво сигарет для експорту. Водночас відповідно до положень  Директиви 2014/40/ЄС максимально можливий рівень вмісту смоли, нікотину і </w:t>
      </w:r>
      <w:proofErr w:type="spellStart"/>
      <w:r w:rsidRPr="00E0048C">
        <w:rPr>
          <w:sz w:val="28"/>
          <w:szCs w:val="28"/>
          <w:lang w:val="uk-UA"/>
        </w:rPr>
        <w:t>монооксиду</w:t>
      </w:r>
      <w:proofErr w:type="spellEnd"/>
      <w:r w:rsidRPr="00E0048C">
        <w:rPr>
          <w:sz w:val="28"/>
          <w:szCs w:val="28"/>
          <w:lang w:val="uk-UA"/>
        </w:rPr>
        <w:t xml:space="preserve"> вуглецю в сигаретах також має застосовуватися до сигарет, що експортуються.</w:t>
      </w:r>
    </w:p>
    <w:p w:rsidR="00A266BF" w:rsidRPr="00E0048C" w:rsidRDefault="00A266BF" w:rsidP="00A266BF">
      <w:pPr>
        <w:spacing w:after="200"/>
        <w:ind w:firstLine="567"/>
        <w:contextualSpacing/>
        <w:jc w:val="both"/>
        <w:rPr>
          <w:sz w:val="28"/>
          <w:szCs w:val="28"/>
          <w:lang w:val="uk-UA"/>
        </w:rPr>
      </w:pPr>
      <w:r w:rsidRPr="00E0048C">
        <w:rPr>
          <w:sz w:val="28"/>
          <w:szCs w:val="28"/>
          <w:lang w:val="uk-UA"/>
        </w:rPr>
        <w:t xml:space="preserve">Також законопроект вимагає від виробника на кожній пачці, коробці або сувенірній коробці вказувати відомості щодо вмісту смоли, нікотину та </w:t>
      </w:r>
      <w:proofErr w:type="spellStart"/>
      <w:r w:rsidRPr="00E0048C">
        <w:rPr>
          <w:sz w:val="28"/>
          <w:szCs w:val="28"/>
          <w:lang w:val="uk-UA"/>
        </w:rPr>
        <w:t>монооксиду</w:t>
      </w:r>
      <w:proofErr w:type="spellEnd"/>
      <w:r w:rsidRPr="00E0048C">
        <w:rPr>
          <w:sz w:val="28"/>
          <w:szCs w:val="28"/>
          <w:lang w:val="uk-UA"/>
        </w:rPr>
        <w:t xml:space="preserve"> вуглецю в диму однієї сигарети (щодо сигарет). Варто зауважити, що відповідно до підходу ЄС вказівка рівнів викидів смол, нікотину і </w:t>
      </w:r>
      <w:proofErr w:type="spellStart"/>
      <w:r w:rsidRPr="00E0048C">
        <w:rPr>
          <w:sz w:val="28"/>
          <w:szCs w:val="28"/>
          <w:lang w:val="uk-UA"/>
        </w:rPr>
        <w:t>монооксиду</w:t>
      </w:r>
      <w:proofErr w:type="spellEnd"/>
      <w:r w:rsidRPr="00E0048C">
        <w:rPr>
          <w:sz w:val="28"/>
          <w:szCs w:val="28"/>
          <w:lang w:val="uk-UA"/>
        </w:rPr>
        <w:t xml:space="preserve"> вуглецю на пачці сигарет є недоцільною, оскільки це може вводити в оману покупців та призводить до того, що споживачі </w:t>
      </w:r>
      <w:proofErr w:type="spellStart"/>
      <w:r w:rsidRPr="00E0048C">
        <w:rPr>
          <w:sz w:val="28"/>
          <w:szCs w:val="28"/>
          <w:lang w:val="uk-UA"/>
        </w:rPr>
        <w:t>вважаютимуть</w:t>
      </w:r>
      <w:proofErr w:type="spellEnd"/>
      <w:r w:rsidRPr="00E0048C">
        <w:rPr>
          <w:sz w:val="28"/>
          <w:szCs w:val="28"/>
          <w:lang w:val="uk-UA"/>
        </w:rPr>
        <w:t xml:space="preserve">, що деякі сигарети є менш шкідливими. Наукові дані також свідчать про те, що великі комбіновані попередження про шкоду для здоров’я, що складаються з тексту попередження та відповідного кольорового зображення, є більш ефективними, ніж попередження, що складаються лише з тексту. Як наслідок, комбіновані попередження про шкоду для здоров’я повинні стати обов'язковими на всій території Європейського Союзу і мають розміщуватися на значних та видимих частинах поверхні пачок. Стаття 13 Директиви «Презентація продукту» прямо забороняє маркування на пачках і на будь-якій зовнішній упаковці, а також на самих тютюнових виробах будь-які елементи або зображення, які сприяють продажу тютюнових виробів або заохочують споживання, створюючи хибне враження про їх характеристики, вплив на здоров'я, ризики або викиди, а етикетки не повинні включати будь-яку інформацію про вміст нікотину, смоли або </w:t>
      </w:r>
      <w:proofErr w:type="spellStart"/>
      <w:r w:rsidRPr="00E0048C">
        <w:rPr>
          <w:sz w:val="28"/>
          <w:szCs w:val="28"/>
          <w:lang w:val="uk-UA"/>
        </w:rPr>
        <w:t>монооксиду</w:t>
      </w:r>
      <w:proofErr w:type="spellEnd"/>
      <w:r w:rsidRPr="00E0048C">
        <w:rPr>
          <w:sz w:val="28"/>
          <w:szCs w:val="28"/>
          <w:lang w:val="uk-UA"/>
        </w:rPr>
        <w:t xml:space="preserve"> вуглецю в тютюновому виробі. </w:t>
      </w:r>
    </w:p>
    <w:p w:rsidR="00A266BF" w:rsidRPr="00E0048C" w:rsidRDefault="00A266BF" w:rsidP="00A266BF">
      <w:pPr>
        <w:ind w:firstLine="567"/>
        <w:jc w:val="both"/>
        <w:rPr>
          <w:sz w:val="28"/>
          <w:szCs w:val="28"/>
          <w:lang w:val="uk-UA"/>
        </w:rPr>
      </w:pPr>
      <w:r w:rsidRPr="00E0048C">
        <w:rPr>
          <w:sz w:val="28"/>
          <w:szCs w:val="28"/>
          <w:lang w:val="uk-UA"/>
        </w:rPr>
        <w:t xml:space="preserve">Визначення основних понять і термінів, які пропонуються у законопроекті потребує приведення у відповідність з вимогами Директиви, </w:t>
      </w:r>
      <w:r w:rsidRPr="00E0048C">
        <w:rPr>
          <w:sz w:val="28"/>
          <w:szCs w:val="28"/>
          <w:lang w:val="uk-UA"/>
        </w:rPr>
        <w:lastRenderedPageBreak/>
        <w:t xml:space="preserve">оскільки такі визначення як тютюн для трубок, бездимний тютюновий виріб, жувальний тютюн, нюхальний тютюн, тютюн для кальянів, тощо відсутні в проекті закону. Всього в Директиві міститься 40 термінів, які лише фрагментарно відображені в законопроекті або їх визначення частково не відповідає визначенню, наведеному в Директиві, спотворюючи його зміст. </w:t>
      </w:r>
    </w:p>
    <w:p w:rsidR="00A266BF" w:rsidRPr="00E0048C" w:rsidRDefault="00A266BF" w:rsidP="00A266BF">
      <w:pPr>
        <w:ind w:firstLine="567"/>
        <w:jc w:val="both"/>
        <w:rPr>
          <w:sz w:val="28"/>
          <w:szCs w:val="28"/>
          <w:lang w:val="uk-UA"/>
        </w:rPr>
      </w:pPr>
      <w:r w:rsidRPr="00E0048C">
        <w:rPr>
          <w:sz w:val="28"/>
          <w:szCs w:val="28"/>
          <w:lang w:val="uk-UA"/>
        </w:rPr>
        <w:t xml:space="preserve">Так, наприклад, в розумінні Директиви електронна сигарета – це «виріб, який використовується для споживання нікотину, що міститься у парі, через мундштук або будь-який компонент цього виробу, у тому числі картридж, ємність і пристрій без картриджа або ємності», тобто до виробів які не призначені для споживання нікотину і в жодному з компонентів якого не міститься нікотину який може бути використаний для споживання не є електронною сигаретою для цілей цієї директиви. </w:t>
      </w:r>
    </w:p>
    <w:p w:rsidR="00A266BF" w:rsidRPr="00E0048C" w:rsidRDefault="00A266BF" w:rsidP="00A266BF">
      <w:pPr>
        <w:ind w:firstLine="567"/>
        <w:jc w:val="both"/>
        <w:rPr>
          <w:sz w:val="28"/>
          <w:szCs w:val="28"/>
          <w:lang w:val="uk-UA"/>
        </w:rPr>
      </w:pPr>
      <w:r w:rsidRPr="00E0048C">
        <w:rPr>
          <w:sz w:val="28"/>
          <w:szCs w:val="28"/>
          <w:lang w:val="uk-UA"/>
        </w:rPr>
        <w:t>Водночас, законопроектом пропонується визначення електронної сигарети як виробу, «який може бути використаний для споживання парів, які утворюються внаслідок нагрівання рідини, що містить нікотин (або рідини без нікотину), з використанням мундштука, або будь-який елемент вказаного виробу, в тому числі картридж, резервуар та відповідний виріб без картриджа або резервуара.». Тобто електронна сигарета, що не містить нікотину, підпадатиме під ті саме вимоги до виробництва, маркування, транспортування, відстеження, як і електронна сигарета, яка використовується для споживання нікотину, що не узгоджується з положеннями Директиви.</w:t>
      </w:r>
    </w:p>
    <w:p w:rsidR="00A266BF" w:rsidRPr="00E0048C" w:rsidRDefault="00A266BF" w:rsidP="00A266BF">
      <w:pPr>
        <w:ind w:firstLine="567"/>
        <w:jc w:val="both"/>
        <w:rPr>
          <w:sz w:val="28"/>
          <w:szCs w:val="28"/>
          <w:lang w:val="uk-UA"/>
        </w:rPr>
      </w:pPr>
      <w:r w:rsidRPr="00E0048C">
        <w:rPr>
          <w:sz w:val="28"/>
          <w:szCs w:val="28"/>
          <w:lang w:val="uk-UA"/>
        </w:rPr>
        <w:t>В цілому, на нашу думку, підхід авторів законопроекту до імплементації Директиви 2014/40 є досить фрагментарний та в окремих випадках не узгоджується з нормами, які застосовуються у Європейському Союзі. Зокрема, це стосується інформування виробниками компетентних органів щодо введення на ринок нового виробу, зміни інгредієнтів виробу, вимог до маркування, відстеження, виробництва та застосування вікових обмежень щодо продажу тютюнових виробів; тютюнових виробів для куріння, крім сигарет; тютюну для самокруток та тютюну для кальянів; бездимних тютюнових виробів та електронних сигарет.</w:t>
      </w:r>
    </w:p>
    <w:p w:rsidR="00A266BF" w:rsidRPr="00E0048C" w:rsidRDefault="00A266BF" w:rsidP="00A266BF">
      <w:pPr>
        <w:ind w:firstLine="709"/>
        <w:jc w:val="both"/>
        <w:rPr>
          <w:sz w:val="28"/>
          <w:szCs w:val="28"/>
          <w:lang w:val="uk-UA"/>
        </w:rPr>
      </w:pPr>
      <w:r w:rsidRPr="00E0048C">
        <w:rPr>
          <w:sz w:val="28"/>
          <w:szCs w:val="28"/>
          <w:lang w:val="uk-UA"/>
        </w:rPr>
        <w:t xml:space="preserve">Законопроект </w:t>
      </w:r>
      <w:r w:rsidRPr="00E0048C">
        <w:rPr>
          <w:b/>
          <w:sz w:val="28"/>
          <w:szCs w:val="28"/>
          <w:lang w:val="uk-UA"/>
        </w:rPr>
        <w:t>не суперечить міжнародно-правовим зобов’язанням України</w:t>
      </w:r>
      <w:r w:rsidRPr="00E0048C">
        <w:rPr>
          <w:sz w:val="28"/>
          <w:szCs w:val="28"/>
          <w:lang w:val="uk-UA"/>
        </w:rPr>
        <w:t xml:space="preserve"> в сфері європейської інтеграції, але не враховує або враховує фрагментарно ряд положень та вимог Директиви 2014/40/ЄС про наближення законодавчих, нормативних та адміністративних актів держав-членів щодо виробництва, презентації та реалізації тютюнових виробів.</w:t>
      </w:r>
    </w:p>
    <w:sectPr w:rsidR="00A266BF" w:rsidRPr="00E004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6BF"/>
    <w:rsid w:val="00484D30"/>
    <w:rsid w:val="00970BB0"/>
    <w:rsid w:val="00A266BF"/>
    <w:rsid w:val="00B8752E"/>
    <w:rsid w:val="00E0048C"/>
    <w:rsid w:val="00E71943"/>
    <w:rsid w:val="00ED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1190F0-C610-4B7D-AD32-6C03CB93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6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A266BF"/>
    <w:pPr>
      <w:spacing w:after="60" w:line="220" w:lineRule="exact"/>
      <w:ind w:firstLine="284"/>
      <w:jc w:val="both"/>
    </w:pPr>
    <w:rPr>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6840</Words>
  <Characters>3900</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Фостик Богдан Володимирович</cp:lastModifiedBy>
  <cp:revision>4</cp:revision>
  <dcterms:created xsi:type="dcterms:W3CDTF">2019-11-28T12:27:00Z</dcterms:created>
  <dcterms:modified xsi:type="dcterms:W3CDTF">2019-11-29T11:51:00Z</dcterms:modified>
</cp:coreProperties>
</file>