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0B7" w:rsidRPr="002B23FA" w:rsidRDefault="00C000B7" w:rsidP="00C000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B23FA">
        <w:rPr>
          <w:rFonts w:ascii="Times New Roman" w:hAnsi="Times New Roman" w:cs="Times New Roman"/>
          <w:b/>
          <w:sz w:val="24"/>
          <w:szCs w:val="24"/>
        </w:rPr>
        <w:t>ПРОГНОЗ ВПЛИВУ</w:t>
      </w:r>
    </w:p>
    <w:p w:rsidR="00C000B7" w:rsidRPr="002B23FA" w:rsidRDefault="00C000B7" w:rsidP="00C000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3FA">
        <w:rPr>
          <w:rFonts w:ascii="Times New Roman" w:hAnsi="Times New Roman" w:cs="Times New Roman"/>
          <w:b/>
          <w:sz w:val="24"/>
          <w:szCs w:val="24"/>
        </w:rPr>
        <w:t>р</w:t>
      </w:r>
      <w:r w:rsidR="00456867" w:rsidRPr="002B23FA">
        <w:rPr>
          <w:rFonts w:ascii="Times New Roman" w:hAnsi="Times New Roman" w:cs="Times New Roman"/>
          <w:b/>
          <w:sz w:val="24"/>
          <w:szCs w:val="24"/>
        </w:rPr>
        <w:t>еа</w:t>
      </w:r>
      <w:r w:rsidRPr="002B23FA">
        <w:rPr>
          <w:rFonts w:ascii="Times New Roman" w:hAnsi="Times New Roman" w:cs="Times New Roman"/>
          <w:b/>
          <w:sz w:val="24"/>
          <w:szCs w:val="24"/>
        </w:rPr>
        <w:t>лізації акта на ключові інтереси заінтересованих сторін</w:t>
      </w:r>
    </w:p>
    <w:p w:rsidR="007964D0" w:rsidRPr="002B23FA" w:rsidRDefault="00B0281B" w:rsidP="00B0281B">
      <w:pPr>
        <w:pStyle w:val="a3"/>
        <w:numPr>
          <w:ilvl w:val="0"/>
          <w:numId w:val="1"/>
        </w:numPr>
        <w:spacing w:before="240"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23FA">
        <w:rPr>
          <w:rFonts w:ascii="Times New Roman" w:hAnsi="Times New Roman" w:cs="Times New Roman"/>
          <w:sz w:val="24"/>
          <w:szCs w:val="24"/>
        </w:rPr>
        <w:t>Прийняття Закону України «</w:t>
      </w:r>
      <w:r w:rsidR="00955170" w:rsidRPr="002B23FA">
        <w:rPr>
          <w:rFonts w:ascii="Times New Roman" w:hAnsi="Times New Roman" w:cs="Times New Roman"/>
          <w:sz w:val="24"/>
          <w:szCs w:val="24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2B23FA">
        <w:rPr>
          <w:rFonts w:ascii="Times New Roman" w:hAnsi="Times New Roman" w:cs="Times New Roman"/>
          <w:sz w:val="24"/>
          <w:szCs w:val="24"/>
        </w:rPr>
        <w:t>»</w:t>
      </w:r>
      <w:r w:rsidR="001E579D" w:rsidRPr="002B23FA">
        <w:rPr>
          <w:rFonts w:ascii="Times New Roman" w:hAnsi="Times New Roman" w:cs="Times New Roman"/>
          <w:sz w:val="24"/>
          <w:szCs w:val="24"/>
        </w:rPr>
        <w:t xml:space="preserve"> сприятиме </w:t>
      </w:r>
      <w:r w:rsidR="001E579D" w:rsidRPr="002B23FA">
        <w:rPr>
          <w:rFonts w:ascii="Times New Roman" w:hAnsi="Times New Roman"/>
          <w:sz w:val="24"/>
          <w:szCs w:val="24"/>
        </w:rPr>
        <w:t xml:space="preserve">підвищенню ефективності системи протидії відмиванню доходів та фінансуванню тероризму в частині виявлення підозрілих фінансових операцій та подальшого вжиття заходів щодо конфіскації злочинних доходів і притягнення винних осіб до відповідальності, шляхом запровадження </w:t>
      </w:r>
      <w:proofErr w:type="spellStart"/>
      <w:r w:rsidR="001E579D" w:rsidRPr="002B23FA">
        <w:rPr>
          <w:rFonts w:ascii="Times New Roman" w:hAnsi="Times New Roman"/>
          <w:sz w:val="24"/>
          <w:szCs w:val="24"/>
        </w:rPr>
        <w:t>ризико-орієнтованого</w:t>
      </w:r>
      <w:proofErr w:type="spellEnd"/>
      <w:r w:rsidR="001E579D" w:rsidRPr="002B23FA">
        <w:rPr>
          <w:rFonts w:ascii="Times New Roman" w:hAnsi="Times New Roman"/>
          <w:sz w:val="24"/>
          <w:szCs w:val="24"/>
        </w:rPr>
        <w:t xml:space="preserve"> підходу в роботі суб’єктів задіяних у сфері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C000B7" w:rsidRPr="002B23FA">
        <w:rPr>
          <w:rFonts w:ascii="Times New Roman" w:hAnsi="Times New Roman" w:cs="Times New Roman"/>
          <w:sz w:val="24"/>
          <w:szCs w:val="24"/>
        </w:rPr>
        <w:t>.</w:t>
      </w:r>
    </w:p>
    <w:p w:rsidR="00B0281B" w:rsidRPr="002B23FA" w:rsidRDefault="00B0281B" w:rsidP="00B0281B">
      <w:pPr>
        <w:pStyle w:val="a3"/>
        <w:spacing w:before="240" w:after="0" w:line="4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0281B" w:rsidRPr="002B23FA" w:rsidRDefault="00C000B7" w:rsidP="00B0281B">
      <w:pPr>
        <w:pStyle w:val="a3"/>
        <w:numPr>
          <w:ilvl w:val="0"/>
          <w:numId w:val="1"/>
        </w:numPr>
        <w:spacing w:before="360"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23FA">
        <w:rPr>
          <w:rFonts w:ascii="Times New Roman" w:hAnsi="Times New Roman" w:cs="Times New Roman"/>
          <w:sz w:val="24"/>
          <w:szCs w:val="24"/>
        </w:rPr>
        <w:t>Вплив на ключові інтереси заінтересованих сторін:</w:t>
      </w:r>
    </w:p>
    <w:tbl>
      <w:tblPr>
        <w:tblStyle w:val="a4"/>
        <w:tblW w:w="15374" w:type="dxa"/>
        <w:tblInd w:w="-5" w:type="dxa"/>
        <w:tblLook w:val="04A0" w:firstRow="1" w:lastRow="0" w:firstColumn="1" w:lastColumn="0" w:noHBand="0" w:noVBand="1"/>
      </w:tblPr>
      <w:tblGrid>
        <w:gridCol w:w="4678"/>
        <w:gridCol w:w="2451"/>
        <w:gridCol w:w="2410"/>
        <w:gridCol w:w="2615"/>
        <w:gridCol w:w="19"/>
        <w:gridCol w:w="3201"/>
      </w:tblGrid>
      <w:tr w:rsidR="007964D0" w:rsidTr="00150D45">
        <w:tc>
          <w:tcPr>
            <w:tcW w:w="4678" w:type="dxa"/>
            <w:vMerge w:val="restart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2451" w:type="dxa"/>
            <w:vMerge w:val="restart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Ключовий інтерес</w:t>
            </w:r>
          </w:p>
        </w:tc>
        <w:tc>
          <w:tcPr>
            <w:tcW w:w="5044" w:type="dxa"/>
            <w:gridSpan w:val="3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3201" w:type="dxa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7964D0" w:rsidTr="00150D45">
        <w:tc>
          <w:tcPr>
            <w:tcW w:w="4678" w:type="dxa"/>
            <w:vMerge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615" w:type="dxa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867">
              <w:rPr>
                <w:rFonts w:ascii="Times New Roman" w:hAnsi="Times New Roman" w:cs="Times New Roman"/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3220" w:type="dxa"/>
            <w:gridSpan w:val="2"/>
          </w:tcPr>
          <w:p w:rsidR="007964D0" w:rsidRPr="0045686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867" w:rsidTr="00150D45">
        <w:tc>
          <w:tcPr>
            <w:tcW w:w="4678" w:type="dxa"/>
          </w:tcPr>
          <w:p w:rsidR="001E579D" w:rsidRPr="001E579D" w:rsidRDefault="001E579D" w:rsidP="00B0281B">
            <w:pPr>
              <w:pStyle w:val="a3"/>
              <w:widowControl w:val="0"/>
              <w:spacing w:before="120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уб’єкт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 первинного фінансового моніторингу</w:t>
            </w:r>
            <w:r w:rsidR="007964D0">
              <w:rPr>
                <w:rFonts w:ascii="Times New Roman" w:hAnsi="Times New Roman" w:cs="Times New Roman"/>
                <w:sz w:val="24"/>
                <w:szCs w:val="24"/>
              </w:rPr>
              <w:t xml:space="preserve"> (далі – </w:t>
            </w:r>
            <w:r w:rsidR="007964D0" w:rsidRPr="007964D0">
              <w:rPr>
                <w:rFonts w:ascii="Times New Roman" w:hAnsi="Times New Roman" w:cs="Times New Roman"/>
                <w:sz w:val="24"/>
                <w:szCs w:val="24"/>
              </w:rPr>
              <w:t>СПФМ</w:t>
            </w:r>
            <w:r w:rsidR="007964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, а саме: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1) банки, страховики (</w:t>
            </w:r>
            <w:proofErr w:type="spellStart"/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перестраховики</w:t>
            </w:r>
            <w:proofErr w:type="spellEnd"/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), страхові (перестрахові) брокери, кредитні спілки, ломбарди та інші фінансові установи;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2) платіжні організації, учасники чи члени платіжних систем;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3) товарні та інші біржі, що проводять фінансові операції з товарами;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4) професійні учасники фондового ринку (ринку цінних паперів);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5) оператори поштового зв’язку, інші установи, які проводять фінансові операції з переказу коштів;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6) філії або представництва іноземних суб’єктів господарської діяльності, які надають фінансові послуги на території </w:t>
            </w:r>
            <w:r w:rsidRPr="001E5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України;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7) спеціально визначені суб’єкти СПФМ: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а) суб’єкти підприємницької діяльності, які надають посередницькі послуги під час здійснення операцій з купівлі-продажу нерухомого майна;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б) суб’єкти господарювання, які здійснюють торгівлю за готівку дорогоцінними металами і дорогоцінним камінням та виробами з них;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в) суб’єкти господарювання, які проводять лотереї та азартні ігри, у тому числі казино, електронне (віртуальне) казино;</w:t>
            </w:r>
          </w:p>
          <w:p w:rsidR="001E579D" w:rsidRPr="001E579D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г) аудиторські фірми, суб’єкти господарювання, що надають послуги з бухгалтерського обліку, суб’єкти господарювання, що надають юридичні послуги (крім осіб, що надають послуги в рамках трудових правовідносин);</w:t>
            </w:r>
          </w:p>
          <w:p w:rsidR="00C000B7" w:rsidRPr="00456867" w:rsidRDefault="001E579D" w:rsidP="00B0281B">
            <w:pPr>
              <w:pStyle w:val="a3"/>
              <w:widowControl w:val="0"/>
              <w:spacing w:before="12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t>8) інші юридичні особи, які за своїм правовим статусом не є фінансовими установами, але надають окремі фінансові послуги.</w:t>
            </w:r>
          </w:p>
        </w:tc>
        <w:tc>
          <w:tcPr>
            <w:tcW w:w="2451" w:type="dxa"/>
          </w:tcPr>
          <w:p w:rsidR="00C000B7" w:rsidRPr="00456867" w:rsidRDefault="001E579D" w:rsidP="007964D0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Зменшення часових та фінансових затрат на здійснення заходів з фінансового моніторингу, зокрема на виявлення фінансових операцій, що підлягають обов’язковому звітуванню (порогової фінансової операції) та подання інформації про неї у зв’язку зі значним скороченням кількості фінансових операцій, що </w:t>
            </w:r>
            <w:r w:rsidRPr="001E5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підлягає обов’язковому фінансовому моніторингу.</w:t>
            </w:r>
          </w:p>
        </w:tc>
        <w:tc>
          <w:tcPr>
            <w:tcW w:w="2410" w:type="dxa"/>
          </w:tcPr>
          <w:p w:rsidR="00C000B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Зменшення часових та фінансових затрат на здійснення заходів з фінансового моніторингу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64D0" w:rsidRPr="007964D0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964D0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щення</w:t>
            </w:r>
            <w:r w:rsidRPr="007964D0"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64D0">
              <w:rPr>
                <w:rFonts w:ascii="Times New Roman" w:hAnsi="Times New Roman" w:cs="Times New Roman"/>
                <w:sz w:val="24"/>
                <w:szCs w:val="24"/>
              </w:rPr>
              <w:t xml:space="preserve"> здійснення обов’язкового звітування СПФМ до </w:t>
            </w:r>
            <w:proofErr w:type="spellStart"/>
            <w:r w:rsidRPr="007964D0">
              <w:rPr>
                <w:rFonts w:ascii="Times New Roman" w:hAnsi="Times New Roman" w:cs="Times New Roman"/>
                <w:sz w:val="24"/>
                <w:szCs w:val="24"/>
              </w:rPr>
              <w:t>Держфінмоніторингу</w:t>
            </w:r>
            <w:proofErr w:type="spellEnd"/>
            <w:r w:rsidRPr="007964D0">
              <w:rPr>
                <w:rFonts w:ascii="Times New Roman" w:hAnsi="Times New Roman" w:cs="Times New Roman"/>
                <w:sz w:val="24"/>
                <w:szCs w:val="24"/>
              </w:rPr>
              <w:t xml:space="preserve"> про фінансові операції;</w:t>
            </w:r>
          </w:p>
          <w:p w:rsidR="007964D0" w:rsidRPr="0045686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</w:tcPr>
          <w:p w:rsidR="00C000B7" w:rsidRPr="00456867" w:rsidRDefault="007964D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Підвищення</w:t>
            </w:r>
            <w:r w:rsidRPr="007964D0">
              <w:rPr>
                <w:rFonts w:ascii="Times New Roman" w:hAnsi="Times New Roman" w:cs="Times New Roman"/>
                <w:sz w:val="24"/>
                <w:szCs w:val="24"/>
              </w:rPr>
              <w:t xml:space="preserve"> ефективності системи протидії відмиванню доходів та фінансуванню тероризму в частині виявлення підозрілих фінансових операцій та подальшого вжиття заходів щодо конфіскації злочинних доходів і притягнення винних осіб до відповідальності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0" w:type="dxa"/>
            <w:gridSpan w:val="2"/>
          </w:tcPr>
          <w:p w:rsidR="004E25D6" w:rsidRDefault="00955170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Проє</w:t>
            </w:r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>ктом</w:t>
            </w:r>
            <w:proofErr w:type="spellEnd"/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 Закону пропонується спростити процедуру обов’язкового звітування СПФМ до </w:t>
            </w:r>
            <w:proofErr w:type="spellStart"/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>Держфінмоніторингу</w:t>
            </w:r>
            <w:proofErr w:type="spellEnd"/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 про фінансові операції. Процедура здійснення первинного фінансового моніторингу зміниться та максимально полегшиться, оскільки СПФМ потребуватиме менше часу для виявлення порогових фінансових операцій, оскільки сума таких фінансових операцій збільшиться з 150000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00000, а кількість ознак, за </w:t>
            </w:r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якими інформації про фінансові операції передається до </w:t>
            </w:r>
            <w:proofErr w:type="spellStart"/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>Держфінмоніторингу</w:t>
            </w:r>
            <w:proofErr w:type="spellEnd"/>
            <w:r w:rsidR="001E579D" w:rsidRPr="001E579D">
              <w:rPr>
                <w:rFonts w:ascii="Times New Roman" w:hAnsi="Times New Roman" w:cs="Times New Roman"/>
                <w:sz w:val="24"/>
                <w:szCs w:val="24"/>
              </w:rPr>
              <w:t xml:space="preserve"> зменшиться з 17 до 4.</w:t>
            </w:r>
          </w:p>
          <w:p w:rsidR="001E579D" w:rsidRPr="00456867" w:rsidRDefault="001E579D" w:rsidP="007964D0">
            <w:pPr>
              <w:pStyle w:val="a3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00B7" w:rsidRPr="00C000B7" w:rsidRDefault="00C000B7" w:rsidP="00C000B7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000B7" w:rsidRPr="00C000B7" w:rsidRDefault="00C000B7" w:rsidP="00C000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00B7" w:rsidRPr="00C000B7" w:rsidSect="00B0281B">
      <w:headerReference w:type="default" r:id="rId8"/>
      <w:pgSz w:w="16838" w:h="11906" w:orient="landscape"/>
      <w:pgMar w:top="851" w:right="851" w:bottom="127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CB1" w:rsidRDefault="004F2CB1" w:rsidP="00316882">
      <w:pPr>
        <w:spacing w:after="0" w:line="240" w:lineRule="auto"/>
      </w:pPr>
      <w:r>
        <w:separator/>
      </w:r>
    </w:p>
  </w:endnote>
  <w:endnote w:type="continuationSeparator" w:id="0">
    <w:p w:rsidR="004F2CB1" w:rsidRDefault="004F2CB1" w:rsidP="0031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CB1" w:rsidRDefault="004F2CB1" w:rsidP="00316882">
      <w:pPr>
        <w:spacing w:after="0" w:line="240" w:lineRule="auto"/>
      </w:pPr>
      <w:r>
        <w:separator/>
      </w:r>
    </w:p>
  </w:footnote>
  <w:footnote w:type="continuationSeparator" w:id="0">
    <w:p w:rsidR="004F2CB1" w:rsidRDefault="004F2CB1" w:rsidP="00316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9874023"/>
      <w:docPartObj>
        <w:docPartGallery w:val="Page Numbers (Top of Page)"/>
        <w:docPartUnique/>
      </w:docPartObj>
    </w:sdtPr>
    <w:sdtEndPr/>
    <w:sdtContent>
      <w:p w:rsidR="00316882" w:rsidRDefault="0031688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15A">
          <w:rPr>
            <w:noProof/>
          </w:rPr>
          <w:t>2</w:t>
        </w:r>
        <w:r>
          <w:fldChar w:fldCharType="end"/>
        </w:r>
      </w:p>
    </w:sdtContent>
  </w:sdt>
  <w:p w:rsidR="00316882" w:rsidRDefault="0031688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B12D3"/>
    <w:multiLevelType w:val="hybridMultilevel"/>
    <w:tmpl w:val="72049AEC"/>
    <w:lvl w:ilvl="0" w:tplc="86DAB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8D"/>
    <w:rsid w:val="000279F3"/>
    <w:rsid w:val="00150D45"/>
    <w:rsid w:val="001E579D"/>
    <w:rsid w:val="002B23FA"/>
    <w:rsid w:val="00316882"/>
    <w:rsid w:val="00456867"/>
    <w:rsid w:val="004E25D6"/>
    <w:rsid w:val="004F2CB1"/>
    <w:rsid w:val="005C415A"/>
    <w:rsid w:val="006D13D7"/>
    <w:rsid w:val="006E17B2"/>
    <w:rsid w:val="007637E1"/>
    <w:rsid w:val="007964D0"/>
    <w:rsid w:val="00955170"/>
    <w:rsid w:val="00AB7D50"/>
    <w:rsid w:val="00B0281B"/>
    <w:rsid w:val="00C000B7"/>
    <w:rsid w:val="00C5748D"/>
    <w:rsid w:val="00D05BA3"/>
    <w:rsid w:val="00E8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0B7"/>
    <w:pPr>
      <w:ind w:left="720"/>
      <w:contextualSpacing/>
    </w:pPr>
  </w:style>
  <w:style w:type="table" w:styleId="a4">
    <w:name w:val="Table Grid"/>
    <w:basedOn w:val="a1"/>
    <w:uiPriority w:val="39"/>
    <w:rsid w:val="00C00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168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6882"/>
  </w:style>
  <w:style w:type="paragraph" w:styleId="a7">
    <w:name w:val="footer"/>
    <w:basedOn w:val="a"/>
    <w:link w:val="a8"/>
    <w:uiPriority w:val="99"/>
    <w:unhideWhenUsed/>
    <w:rsid w:val="003168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6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0B7"/>
    <w:pPr>
      <w:ind w:left="720"/>
      <w:contextualSpacing/>
    </w:pPr>
  </w:style>
  <w:style w:type="table" w:styleId="a4">
    <w:name w:val="Table Grid"/>
    <w:basedOn w:val="a1"/>
    <w:uiPriority w:val="39"/>
    <w:rsid w:val="00C00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168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6882"/>
  </w:style>
  <w:style w:type="paragraph" w:styleId="a7">
    <w:name w:val="footer"/>
    <w:basedOn w:val="a"/>
    <w:link w:val="a8"/>
    <w:uiPriority w:val="99"/>
    <w:unhideWhenUsed/>
    <w:rsid w:val="003168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6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2441</Words>
  <Characters>1392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Котова Світлана Олександрівна</dc:creator>
  <cp:lastModifiedBy>User</cp:lastModifiedBy>
  <cp:revision>2</cp:revision>
  <dcterms:created xsi:type="dcterms:W3CDTF">2019-09-25T13:10:00Z</dcterms:created>
  <dcterms:modified xsi:type="dcterms:W3CDTF">2019-09-25T13:10:00Z</dcterms:modified>
</cp:coreProperties>
</file>