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D8A" w:rsidRPr="00492A6D" w:rsidRDefault="00673D8A" w:rsidP="00673D8A">
      <w:pPr>
        <w:ind w:firstLine="567"/>
        <w:jc w:val="center"/>
        <w:outlineLvl w:val="4"/>
        <w:rPr>
          <w:b/>
          <w:bCs/>
        </w:rPr>
      </w:pPr>
      <w:r w:rsidRPr="00492A6D">
        <w:rPr>
          <w:b/>
          <w:bCs/>
        </w:rPr>
        <w:t>ВИСНОВОК</w:t>
      </w:r>
    </w:p>
    <w:p w:rsidR="00673D8A" w:rsidRPr="00492A6D" w:rsidRDefault="00673D8A" w:rsidP="00673D8A">
      <w:pPr>
        <w:ind w:firstLine="567"/>
        <w:jc w:val="center"/>
        <w:outlineLvl w:val="4"/>
        <w:rPr>
          <w:b/>
        </w:rPr>
      </w:pPr>
      <w:r w:rsidRPr="00492A6D">
        <w:rPr>
          <w:b/>
          <w:bCs/>
        </w:rPr>
        <w:t xml:space="preserve">Комітету Верховної Ради України з питань </w:t>
      </w:r>
      <w:r w:rsidRPr="00492A6D">
        <w:rPr>
          <w:b/>
        </w:rPr>
        <w:t xml:space="preserve">інтеграції України з Європейським Союзом щодо проекту Закону України </w:t>
      </w:r>
    </w:p>
    <w:p w:rsidR="00673D8A" w:rsidRPr="00492A6D" w:rsidRDefault="00673D8A" w:rsidP="00673D8A">
      <w:pPr>
        <w:ind w:firstLine="567"/>
        <w:jc w:val="center"/>
        <w:outlineLvl w:val="4"/>
        <w:rPr>
          <w:b/>
        </w:rPr>
      </w:pPr>
      <w:r w:rsidRPr="00492A6D">
        <w:rPr>
          <w:b/>
        </w:rPr>
        <w:t xml:space="preserve"> «Про внесення змін до деяких законодавчих актів України щодо вдосконалення законодавства в сфері поводження з тваринами» </w:t>
      </w:r>
    </w:p>
    <w:p w:rsidR="00673D8A" w:rsidRPr="00492A6D" w:rsidRDefault="00673D8A" w:rsidP="00673D8A">
      <w:pPr>
        <w:ind w:firstLine="567"/>
        <w:jc w:val="center"/>
        <w:outlineLvl w:val="4"/>
        <w:rPr>
          <w:b/>
        </w:rPr>
      </w:pPr>
      <w:r w:rsidRPr="00492A6D">
        <w:rPr>
          <w:b/>
        </w:rPr>
        <w:t xml:space="preserve">(реєстр. № 2246 від 08.10.2019 р., </w:t>
      </w:r>
      <w:proofErr w:type="spellStart"/>
      <w:r w:rsidRPr="00492A6D">
        <w:rPr>
          <w:b/>
        </w:rPr>
        <w:t>н.д</w:t>
      </w:r>
      <w:proofErr w:type="spellEnd"/>
      <w:r w:rsidRPr="00492A6D">
        <w:rPr>
          <w:b/>
        </w:rPr>
        <w:t>. А. Яценко)</w:t>
      </w:r>
    </w:p>
    <w:p w:rsidR="00673D8A" w:rsidRPr="00492A6D" w:rsidRDefault="00673D8A" w:rsidP="00673D8A">
      <w:pPr>
        <w:spacing w:before="60" w:after="60"/>
        <w:ind w:firstLine="567"/>
        <w:jc w:val="both"/>
        <w:rPr>
          <w:b/>
        </w:rPr>
      </w:pPr>
      <w:r w:rsidRPr="00492A6D">
        <w:rPr>
          <w:b/>
        </w:rPr>
        <w:t>1. Загальна характеристика законопроекту.</w:t>
      </w:r>
    </w:p>
    <w:p w:rsidR="00673D8A" w:rsidRPr="00492A6D" w:rsidRDefault="00E45E78" w:rsidP="00E45E78">
      <w:pPr>
        <w:pStyle w:val="11"/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Проект </w:t>
      </w:r>
      <w:r w:rsidR="00673D8A"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Закону, згідно з пояснювальною запискою, </w:t>
      </w: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розроблено з метою захисту тварин від жорстокого поводження та гуманізації в Україні розважальної діяльності з використанням тварин</w:t>
      </w:r>
      <w:r w:rsidR="00673D8A"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Для цього</w:t>
      </w:r>
      <w:r w:rsidR="00673D8A"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 законопроекті пропонується </w:t>
      </w:r>
      <w:r w:rsidR="00805B99"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внести зміни до Кодексу України про адміністративні правопорушення (в частині запровадження відповідальності за порушення правил поводження з тваринами, які використовуються у видовищних заходах, у спорті, при організації дозвілля) та зміни до Закону України «Про захист тварин від жорстокого поводження»</w:t>
      </w:r>
      <w:r w:rsidR="00673D8A"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</w:p>
    <w:p w:rsidR="00673D8A" w:rsidRPr="00492A6D" w:rsidRDefault="00673D8A" w:rsidP="00673D8A">
      <w:pPr>
        <w:spacing w:before="240" w:after="60"/>
        <w:ind w:firstLine="567"/>
        <w:jc w:val="both"/>
        <w:rPr>
          <w:b/>
          <w:bCs/>
        </w:rPr>
      </w:pPr>
      <w:r w:rsidRPr="00492A6D">
        <w:rPr>
          <w:rFonts w:eastAsia="Verdana"/>
          <w:b/>
          <w:bCs/>
        </w:rPr>
        <w:t>2.  </w:t>
      </w:r>
      <w:r w:rsidRPr="00492A6D">
        <w:rPr>
          <w:b/>
          <w:bCs/>
        </w:rPr>
        <w:t>Належність законопроекту за предметом правового регулювання до сфери дії права Європейського Союзу.</w:t>
      </w:r>
    </w:p>
    <w:p w:rsidR="00673D8A" w:rsidRPr="00492A6D" w:rsidRDefault="00673D8A" w:rsidP="00673D8A">
      <w:pPr>
        <w:spacing w:before="60" w:after="60"/>
        <w:ind w:firstLine="567"/>
        <w:jc w:val="both"/>
      </w:pPr>
      <w:r w:rsidRPr="00492A6D">
        <w:t>Предмет правового регулювання законопроекту охоплюється положеннями Глави 6 «Навколишнє середовище» Розділу V «Економічне та галузеве співробітництво» та Додатку ХХХ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асоціацію).</w:t>
      </w:r>
    </w:p>
    <w:p w:rsidR="00673D8A" w:rsidRPr="00492A6D" w:rsidRDefault="00673D8A" w:rsidP="00673D8A">
      <w:pPr>
        <w:pStyle w:val="11"/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92A6D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Правовідносини, аналогічні тим, які пропонується врегулювати проектом Закону, регулюються </w:t>
      </w: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на рівні національного законодавства держав-членів ЄС, а також:</w:t>
      </w:r>
    </w:p>
    <w:p w:rsidR="00673D8A" w:rsidRPr="00492A6D" w:rsidRDefault="00673D8A" w:rsidP="00673D8A">
      <w:pPr>
        <w:pStyle w:val="11"/>
        <w:numPr>
          <w:ilvl w:val="0"/>
          <w:numId w:val="1"/>
        </w:numPr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92A6D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Договором про функціонування Європейського Союзу</w:t>
      </w: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(консолідована версія) (</w:t>
      </w:r>
      <w:proofErr w:type="spellStart"/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Official</w:t>
      </w:r>
      <w:proofErr w:type="spellEnd"/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Journal</w:t>
      </w:r>
      <w:proofErr w:type="spellEnd"/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 326, 26.10.2012, С. 47–390) (далі – Договір);</w:t>
      </w:r>
    </w:p>
    <w:p w:rsidR="00CA7033" w:rsidRPr="00492A6D" w:rsidRDefault="00673D8A" w:rsidP="00673D8A">
      <w:pPr>
        <w:pStyle w:val="11"/>
        <w:numPr>
          <w:ilvl w:val="0"/>
          <w:numId w:val="1"/>
        </w:numPr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92A6D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Регламентом Комісії </w:t>
      </w:r>
      <w:r w:rsidRPr="00492A6D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№</w:t>
      </w:r>
      <w:r w:rsidRPr="00492A6D">
        <w:rPr>
          <w:rFonts w:ascii="Times New Roman" w:eastAsia="Times New Roman" w:hAnsi="Times New Roman"/>
          <w:b/>
          <w:bCs/>
          <w:i/>
          <w:sz w:val="28"/>
          <w:szCs w:val="28"/>
          <w:lang w:val="uk-UA" w:eastAsia="ru-RU"/>
        </w:rPr>
        <w:t> </w:t>
      </w:r>
      <w:r w:rsidRPr="00492A6D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1739/2005</w:t>
      </w:r>
      <w:r w:rsidRPr="00492A6D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від 21 жовтня 2005 року, що встановлює вимоги до здоров’я тварин при переміщенні циркових тварин у межах територій держав-членів</w:t>
      </w: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</w:t>
      </w:r>
      <w:proofErr w:type="spellStart"/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Official</w:t>
      </w:r>
      <w:proofErr w:type="spellEnd"/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Journal</w:t>
      </w:r>
      <w:proofErr w:type="spellEnd"/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L 279, 22.10.2005, С. 47 – 62) (далі –</w:t>
      </w:r>
      <w:r w:rsidR="00CA7033"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Регламент Комісії № 1739/2005);</w:t>
      </w:r>
    </w:p>
    <w:p w:rsidR="00EA0746" w:rsidRDefault="00CA7033" w:rsidP="00673D8A">
      <w:pPr>
        <w:pStyle w:val="11"/>
        <w:numPr>
          <w:ilvl w:val="0"/>
          <w:numId w:val="1"/>
        </w:numPr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92A6D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Регламентом </w:t>
      </w:r>
      <w:r w:rsidR="00166B9F" w:rsidRPr="00492A6D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Ради</w:t>
      </w:r>
      <w:r w:rsidRPr="00492A6D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</w:t>
      </w:r>
      <w:r w:rsidRPr="00492A6D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№</w:t>
      </w:r>
      <w:r w:rsidRPr="00492A6D">
        <w:rPr>
          <w:rFonts w:ascii="Times New Roman" w:eastAsia="Times New Roman" w:hAnsi="Times New Roman"/>
          <w:b/>
          <w:bCs/>
          <w:i/>
          <w:sz w:val="28"/>
          <w:szCs w:val="28"/>
          <w:lang w:val="uk-UA" w:eastAsia="ru-RU"/>
        </w:rPr>
        <w:t> </w:t>
      </w:r>
      <w:r w:rsidRPr="00492A6D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338/97</w:t>
      </w:r>
      <w:r w:rsidRPr="00492A6D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від 9 грудня 1996 року про </w:t>
      </w:r>
      <w:r w:rsidR="00166B9F" w:rsidRPr="00492A6D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захист</w:t>
      </w:r>
      <w:r w:rsidRPr="00492A6D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</w:t>
      </w:r>
      <w:r w:rsidR="00166B9F" w:rsidRPr="00492A6D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видів дикої фауни і флори шляхом регулювання торгівлі ними </w:t>
      </w: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(</w:t>
      </w:r>
      <w:proofErr w:type="spellStart"/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Official</w:t>
      </w:r>
      <w:proofErr w:type="spellEnd"/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Journal</w:t>
      </w:r>
      <w:proofErr w:type="spellEnd"/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L </w:t>
      </w:r>
      <w:r w:rsidR="00166B9F"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61, 03</w:t>
      </w: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166B9F"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166B9F"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1997</w:t>
      </w: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С. </w:t>
      </w:r>
      <w:r w:rsidR="00166B9F"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1 – 69</w:t>
      </w: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(далі – Регламент </w:t>
      </w:r>
      <w:r w:rsidR="00C67EC8"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Ради</w:t>
      </w: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№ </w:t>
      </w:r>
      <w:r w:rsidR="00166B9F"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338</w:t>
      </w: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/</w:t>
      </w:r>
      <w:r w:rsidR="00166B9F"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97</w:t>
      </w: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  <w:r w:rsidR="00BC14B4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66023C" w:rsidRDefault="0066023C" w:rsidP="0066023C">
      <w:pPr>
        <w:spacing w:before="60" w:after="60"/>
        <w:ind w:firstLine="567"/>
        <w:jc w:val="both"/>
        <w:rPr>
          <w:color w:val="000000" w:themeColor="text1"/>
        </w:rPr>
      </w:pPr>
      <w:r w:rsidRPr="00492A6D">
        <w:t xml:space="preserve">Міжнародно-правовим актом з питань, які є предметом регулювання законопроекту є  </w:t>
      </w:r>
      <w:r w:rsidRPr="00492A6D">
        <w:rPr>
          <w:i/>
        </w:rPr>
        <w:t xml:space="preserve">Конвенція про міжнародну торгівлю видами дикої фауни і флори, що перебувають під загрозою зникнення від 3 березня 1973 р. </w:t>
      </w:r>
      <w:r w:rsidRPr="00492A6D">
        <w:rPr>
          <w:i/>
          <w:color w:val="000000" w:themeColor="text1"/>
        </w:rPr>
        <w:t xml:space="preserve">року </w:t>
      </w:r>
      <w:r w:rsidRPr="00492A6D">
        <w:rPr>
          <w:color w:val="000000" w:themeColor="text1"/>
        </w:rPr>
        <w:t xml:space="preserve">(Закон України «Про приєднання України до Конвенції про міжнародну торгівлю </w:t>
      </w:r>
      <w:r w:rsidRPr="00492A6D">
        <w:t>видами дикої фауни і флори, що перебувають під загрозою зникнення</w:t>
      </w:r>
      <w:r w:rsidRPr="00492A6D">
        <w:rPr>
          <w:color w:val="000000" w:themeColor="text1"/>
        </w:rPr>
        <w:t>» N 662-ХIV</w:t>
      </w:r>
      <w:r w:rsidRPr="00492A6D">
        <w:rPr>
          <w:rFonts w:ascii="Courier New" w:hAnsi="Courier New" w:cs="Courier New"/>
          <w:i/>
          <w:iCs/>
          <w:lang w:eastAsia="uk-UA"/>
        </w:rPr>
        <w:t xml:space="preserve"> </w:t>
      </w:r>
      <w:r w:rsidRPr="00492A6D">
        <w:rPr>
          <w:color w:val="000000" w:themeColor="text1"/>
        </w:rPr>
        <w:t>від 14.05.1999)</w:t>
      </w:r>
      <w:r w:rsidR="00492A6D" w:rsidRPr="00492A6D">
        <w:rPr>
          <w:color w:val="000000" w:themeColor="text1"/>
        </w:rPr>
        <w:t xml:space="preserve"> </w:t>
      </w:r>
      <w:r w:rsidR="00492A6D" w:rsidRPr="00492A6D">
        <w:t>(далі – Конвенція)</w:t>
      </w:r>
      <w:r w:rsidRPr="00492A6D">
        <w:rPr>
          <w:color w:val="000000" w:themeColor="text1"/>
        </w:rPr>
        <w:t>.</w:t>
      </w:r>
    </w:p>
    <w:p w:rsidR="00673D8A" w:rsidRPr="00492A6D" w:rsidRDefault="00673D8A" w:rsidP="00673D8A">
      <w:pPr>
        <w:spacing w:before="240" w:after="60"/>
        <w:ind w:firstLine="567"/>
        <w:jc w:val="both"/>
        <w:rPr>
          <w:b/>
        </w:rPr>
      </w:pPr>
      <w:r w:rsidRPr="00492A6D">
        <w:t xml:space="preserve"> </w:t>
      </w:r>
      <w:r w:rsidRPr="00492A6D">
        <w:rPr>
          <w:rFonts w:eastAsia="Verdana"/>
          <w:b/>
          <w:bCs/>
        </w:rPr>
        <w:t>3.  </w:t>
      </w:r>
      <w:r w:rsidRPr="00492A6D">
        <w:rPr>
          <w:b/>
        </w:rPr>
        <w:t>Відповідність законопроекту праву ЄС.</w:t>
      </w:r>
    </w:p>
    <w:p w:rsidR="00673D8A" w:rsidRPr="00492A6D" w:rsidRDefault="00673D8A" w:rsidP="00673D8A">
      <w:pPr>
        <w:pStyle w:val="1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правового аналізу проекту Закону щодо його відповідності </w:t>
      </w:r>
      <w:proofErr w:type="spellStart"/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aquis</w:t>
      </w:r>
      <w:proofErr w:type="spellEnd"/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ЄС та Угоді про асоціацію слід зазначити таке.</w:t>
      </w:r>
    </w:p>
    <w:p w:rsidR="00673D8A" w:rsidRDefault="00673D8A" w:rsidP="00673D8A">
      <w:pPr>
        <w:pStyle w:val="1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92A6D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lastRenderedPageBreak/>
        <w:t xml:space="preserve">Особливості правовідносин щодо захисту тварин у цирках </w:t>
      </w:r>
      <w:r w:rsidR="00CA7033" w:rsidRPr="00492A6D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 xml:space="preserve">та </w:t>
      </w:r>
      <w:r w:rsidR="00BA6BFE" w:rsidRPr="00492A6D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>при використанні у в</w:t>
      </w:r>
      <w:r w:rsidR="00CA7033" w:rsidRPr="00492A6D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 xml:space="preserve">идовищних заходах </w:t>
      </w:r>
      <w:r w:rsidRPr="00492A6D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>не регулюються правом Європейського Союзу, а визначаються на рівні національного законодавства держав-членів ЄС</w:t>
      </w: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3A36B7" w:rsidRPr="00492A6D" w:rsidRDefault="003A36B7" w:rsidP="00673D8A">
      <w:pPr>
        <w:pStyle w:val="1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Запропонований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у змінах до статті 1 Закону України «Про захист тварин від жорстокого поводження» термін «видовищний захід» відсутній у законодавстві ЄС, даний вид діяльності не регулюється у рамках ЄС.</w:t>
      </w:r>
    </w:p>
    <w:p w:rsidR="00BF1DCC" w:rsidRDefault="00673D8A" w:rsidP="00BF1DCC">
      <w:pPr>
        <w:pStyle w:val="1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Також принагідно варто зауважити, що в Угоді про асоціацію відсутні прямі зобов’язання щодо удосконалення законодавчого регулювання захисту тварин</w:t>
      </w:r>
      <w:r w:rsidR="00BA6BFE"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, що використовуються у видовищних заходах</w:t>
      </w: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r w:rsidR="00965BB8">
        <w:rPr>
          <w:rFonts w:ascii="Times New Roman" w:eastAsia="Times New Roman" w:hAnsi="Times New Roman"/>
          <w:sz w:val="28"/>
          <w:szCs w:val="28"/>
          <w:lang w:val="uk-UA" w:eastAsia="ru-RU"/>
        </w:rPr>
        <w:t>Водночас,</w:t>
      </w: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965BB8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>метою законопроекту є посилення захисту тварин від жорстокого поводження, що, в свою чергу, охоплюється положеннями Угоди про асоціацію</w:t>
      </w: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BA6BFE" w:rsidRDefault="00BF1DCC" w:rsidP="00BF1DCC">
      <w:pPr>
        <w:pStyle w:val="1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Відповідно до статті 13 Договору передбачено, що Союз та держави-члени, визначаючи та реалізуючи політику Союзу в сферах сільського господарства, рибальства, транспорту, внутрішнього ринку, досліджень та технологічного розвитку і космосу, повинні зважати на вимоги добробуту тварин, як істот, здатних відчувати, поважаючи законодавчі або адміністративні положення, а також звичаї держав-членів, зокрема щодо релігійних обрядів, культурних традицій та регіональної спадщини.  </w:t>
      </w:r>
    </w:p>
    <w:p w:rsidR="001D2059" w:rsidRDefault="00C67EC8" w:rsidP="00F46A63">
      <w:pPr>
        <w:pStyle w:val="1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Згідно зі статтею 8 </w:t>
      </w:r>
      <w:r w:rsidR="00B36D67"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Регламент</w:t>
      </w: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="00B36D67"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Ради</w:t>
      </w:r>
      <w:r w:rsidR="00B36D67"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№ 338/97</w:t>
      </w: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забороненими є, зокрема, </w:t>
      </w:r>
      <w:r w:rsidR="00166B9F"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придбання у комерційних цілях</w:t>
      </w: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</w:t>
      </w:r>
      <w:r w:rsidR="00166B9F"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використання з метою комерційної вигоди екземплярів видів, зазначених в Додатку А</w:t>
      </w:r>
      <w:r w:rsidR="00492A6D"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 цього Регламенту</w:t>
      </w:r>
      <w:r w:rsidR="00BC14B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BC14B4" w:rsidRPr="00254E9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якщо не надано дозволу в </w:t>
      </w:r>
      <w:r w:rsidR="001D2059">
        <w:rPr>
          <w:rFonts w:ascii="Times New Roman" w:eastAsia="Times New Roman" w:hAnsi="Times New Roman"/>
          <w:sz w:val="28"/>
          <w:szCs w:val="28"/>
          <w:lang w:val="uk-UA" w:eastAsia="ru-RU"/>
        </w:rPr>
        <w:t>конкретному</w:t>
      </w:r>
      <w:r w:rsidR="00BC14B4" w:rsidRPr="00254E9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випадку для цілей вивчення, дослідження або вирощування</w:t>
      </w:r>
      <w:r w:rsidR="001D20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тощо</w:t>
      </w:r>
      <w:r w:rsidR="00166B9F"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66023C" w:rsidRDefault="00F46A63" w:rsidP="00F46A63">
      <w:pPr>
        <w:pStyle w:val="1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92A6D" w:rsidRPr="00F46A63">
        <w:rPr>
          <w:rFonts w:ascii="Times New Roman" w:eastAsia="Times New Roman" w:hAnsi="Times New Roman"/>
          <w:sz w:val="28"/>
          <w:szCs w:val="28"/>
          <w:lang w:val="uk-UA" w:eastAsia="ru-RU"/>
        </w:rPr>
        <w:t>При цьому,</w:t>
      </w:r>
      <w:r w:rsidRPr="00F46A6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відповідно до частини 1 статті 3 </w:t>
      </w: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Регламенту Ради № 338/97</w:t>
      </w:r>
      <w:r w:rsidRPr="00F46A6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492A6D" w:rsidRPr="00F46A6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Д</w:t>
      </w:r>
      <w:r w:rsidR="00492A6D" w:rsidRPr="00F46A63">
        <w:rPr>
          <w:rFonts w:ascii="Times New Roman" w:eastAsia="Times New Roman" w:hAnsi="Times New Roman"/>
          <w:sz w:val="28"/>
          <w:szCs w:val="28"/>
          <w:lang w:val="uk-UA" w:eastAsia="ru-RU"/>
        </w:rPr>
        <w:t>одаток</w:t>
      </w:r>
      <w:r w:rsidR="0066023C" w:rsidRPr="00F46A6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 включає</w:t>
      </w:r>
      <w:r w:rsidR="00492A6D" w:rsidRPr="00F46A6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66023C" w:rsidRPr="00F46A63">
        <w:rPr>
          <w:rFonts w:ascii="Times New Roman" w:eastAsia="Times New Roman" w:hAnsi="Times New Roman"/>
          <w:sz w:val="28"/>
          <w:szCs w:val="28"/>
          <w:lang w:val="uk-UA" w:eastAsia="ru-RU"/>
        </w:rPr>
        <w:t>види, зазначені в Додатку І до Конвенції, щодо яких держави-члени не внесли застереження</w:t>
      </w:r>
      <w:r w:rsidR="00492A6D" w:rsidRPr="00F46A6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а також </w:t>
      </w:r>
      <w:r w:rsidR="0066023C" w:rsidRPr="00F46A63">
        <w:rPr>
          <w:rFonts w:ascii="Times New Roman" w:eastAsia="Times New Roman" w:hAnsi="Times New Roman"/>
          <w:sz w:val="28"/>
          <w:szCs w:val="28"/>
          <w:lang w:val="uk-UA" w:eastAsia="ru-RU"/>
        </w:rPr>
        <w:t>будь-який вид</w:t>
      </w:r>
      <w:r w:rsidR="00492A6D" w:rsidRPr="00F46A63">
        <w:rPr>
          <w:rFonts w:ascii="Times New Roman" w:eastAsia="Times New Roman" w:hAnsi="Times New Roman"/>
          <w:sz w:val="28"/>
          <w:szCs w:val="28"/>
          <w:lang w:val="uk-UA" w:eastAsia="ru-RU"/>
        </w:rPr>
        <w:t>, я</w:t>
      </w:r>
      <w:r w:rsidR="0066023C" w:rsidRPr="00F46A63">
        <w:rPr>
          <w:rFonts w:ascii="Times New Roman" w:eastAsia="Times New Roman" w:hAnsi="Times New Roman"/>
          <w:sz w:val="28"/>
          <w:szCs w:val="28"/>
          <w:lang w:val="uk-UA" w:eastAsia="ru-RU"/>
        </w:rPr>
        <w:t>кий має чи може мати попит для використання в Співтоваристві чи в зовнішній торгівлі і який знаходиться під загрозою зникнення або є таким рідкісним, що будь-яка торгівля може поставити під загрозу виживання цього виду; або</w:t>
      </w:r>
      <w:r w:rsidRPr="00F46A6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66023C" w:rsidRPr="00F46A63">
        <w:rPr>
          <w:rFonts w:ascii="Times New Roman" w:eastAsia="Times New Roman" w:hAnsi="Times New Roman"/>
          <w:sz w:val="28"/>
          <w:szCs w:val="28"/>
          <w:lang w:val="uk-UA" w:eastAsia="ru-RU"/>
        </w:rPr>
        <w:t>який входить до складу роду, більшість видів якого, або сам є видом, більшість підвидів якого зазначені в Додатку А та чиє внесення до списку в Додатку має важливе значення для ефективного захисту цих видів</w:t>
      </w:r>
      <w:r w:rsidRPr="00F46A6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(наприклад, сірий вовк, панда, бурий ведмідь, гепард, тигр, леопард, ягуар, пума та інші)</w:t>
      </w:r>
      <w:r w:rsidR="0066023C" w:rsidRPr="00F46A63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166B9F" w:rsidRDefault="00116B6D" w:rsidP="00116B6D">
      <w:pPr>
        <w:pStyle w:val="1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статті 16 </w:t>
      </w: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Регламенту Ради № 338/97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зазначається, що д</w:t>
      </w:r>
      <w:r w:rsidR="00166B9F" w:rsidRPr="00116B6D">
        <w:rPr>
          <w:rFonts w:ascii="Times New Roman" w:eastAsia="Times New Roman" w:hAnsi="Times New Roman"/>
          <w:sz w:val="28"/>
          <w:szCs w:val="28"/>
          <w:lang w:val="uk-UA" w:eastAsia="ru-RU"/>
        </w:rPr>
        <w:t>ержави-члени вживають належних заходів, щоб забезпечити накладення стягнень, як мінімум, за такі порушення даного Регламенту:</w:t>
      </w:r>
      <w:r w:rsidRPr="00116B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166B9F" w:rsidRPr="00116B6D">
        <w:rPr>
          <w:rFonts w:ascii="Times New Roman" w:eastAsia="Times New Roman" w:hAnsi="Times New Roman"/>
          <w:sz w:val="28"/>
          <w:szCs w:val="28"/>
          <w:lang w:val="uk-UA" w:eastAsia="ru-RU"/>
        </w:rPr>
        <w:t>придбання у комерційних цілях, використання з метою комерційної вигоди, виставляння</w:t>
      </w:r>
      <w:r w:rsidRPr="00116B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 показ у комерційних цілях</w:t>
      </w:r>
      <w:r w:rsidR="002240B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; </w:t>
      </w:r>
      <w:r w:rsidR="002240B4" w:rsidRPr="002240B4">
        <w:rPr>
          <w:rFonts w:ascii="Times New Roman" w:eastAsia="Times New Roman" w:hAnsi="Times New Roman"/>
          <w:sz w:val="28"/>
          <w:szCs w:val="28"/>
          <w:lang w:val="uk-UA" w:eastAsia="ru-RU"/>
        </w:rPr>
        <w:t>перевезення живих екземплярів, які не були підготовлені належним чином, так, щоб зменшити ризик пошкоджень, нанесення збитків здоров’ю чи жорстокого поводження</w:t>
      </w:r>
      <w:r w:rsidRPr="00116B6D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2240B4" w:rsidRDefault="00673D8A" w:rsidP="00673D8A">
      <w:pPr>
        <w:pStyle w:val="1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92A6D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 xml:space="preserve">Незважаючи на те, що законодавче регулювання питання щодо особливостей захисту диких тварин у цирках </w:t>
      </w:r>
      <w:r w:rsidR="002240B4" w:rsidRPr="00492A6D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 xml:space="preserve">та при використанні у видовищних заходах </w:t>
      </w:r>
      <w:r w:rsidRPr="00492A6D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>вирішується на національному рівні кожної окремої держави-члена ЄС, проте існують спільні тенденції у підходах до вирішення зазначеного питання</w:t>
      </w: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673D8A" w:rsidRPr="00492A6D" w:rsidRDefault="002240B4" w:rsidP="00673D8A">
      <w:pPr>
        <w:pStyle w:val="1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Наприклад, в</w:t>
      </w:r>
      <w:r w:rsidR="00673D8A"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икористання диких тварин у пересувних цирках є предметом дискусій у багатьох країнах як в Євр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опейському Союзі, так і у світі. З січня </w:t>
      </w:r>
      <w:r w:rsidR="00673D8A"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2005 ро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ку</w:t>
      </w:r>
      <w:r w:rsidR="00673D8A"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 Австрії на законодавчому рівні було заборонено утримувати диких тварин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="00673D8A"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цирках. В травні 2005 року Європейська асоціація цирків подала до Європейської Комісії скаргу на рішення Австрії заборонити використання диких тварин у цирках, стверджуючи, зокрема, що така заборона суперечить одній з чотирьох основних свобод ЄС, а саме – вільному руху послуг. Розглянувши скаргу, Комісія дійшла висновку, що питання щодо особливостей захисту диких тварин у цирках належить до компетенції держав-членів, наголосивши при цьому, що кожна держава-член має право обмежити вільний рух послуг з міркувань загального інтересу, зокрема, такого як добробут тварин. Пізніше Комісія ще раз підтвердила таку свою позицію, зазначивши, що повна заборона використання диких тварин у цирках є обмеженням </w:t>
      </w:r>
      <w:r w:rsidR="00673D8A" w:rsidRPr="00492A6D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свободи</w:t>
      </w:r>
      <w:r w:rsidR="00673D8A"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надання </w:t>
      </w:r>
      <w:r w:rsidR="00673D8A" w:rsidRPr="00492A6D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послуг</w:t>
      </w:r>
      <w:r w:rsidR="00673D8A"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як це передбачено в статті 56 Договору про функціонування Європейського Союзу. Такі обмеження можуть бути виправданні лише з міркувань загального інтересу. Добробут та захист тварин є серед причин, що можуть виправдати такі обмеження, якщо національні заходи є належними та необхідними для досягнення поставленої мети. Ще раз було зазначено, що Комісія не втручатиметься в оцінку засобів, обраних Австрією з метою найкращого забезпечення захисту диких тварин у цирках, та залишить це питання на розгляд компетентних органів держави-члена.  </w:t>
      </w:r>
    </w:p>
    <w:p w:rsidR="00673D8A" w:rsidRPr="00492A6D" w:rsidRDefault="00673D8A" w:rsidP="00673D8A">
      <w:pPr>
        <w:pStyle w:val="1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 сьогодні </w:t>
      </w:r>
      <w:r w:rsidR="003A36B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щонайменше </w:t>
      </w: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18 держав-членів ЄС на законодавчому рівні заборонили використання в цирках (пересувних цирках) таких тварин: </w:t>
      </w:r>
    </w:p>
    <w:p w:rsidR="00673D8A" w:rsidRPr="00492A6D" w:rsidRDefault="00673D8A" w:rsidP="00673D8A">
      <w:pPr>
        <w:pStyle w:val="11"/>
        <w:numPr>
          <w:ilvl w:val="0"/>
          <w:numId w:val="2"/>
        </w:numPr>
        <w:tabs>
          <w:tab w:val="left" w:pos="851"/>
        </w:tabs>
        <w:spacing w:before="60" w:after="6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Греція, Кіпр та Мальта – заборонили використання всіх тварин у цирках;</w:t>
      </w:r>
    </w:p>
    <w:p w:rsidR="00673D8A" w:rsidRPr="00492A6D" w:rsidRDefault="00673D8A" w:rsidP="00673D8A">
      <w:pPr>
        <w:pStyle w:val="11"/>
        <w:numPr>
          <w:ilvl w:val="0"/>
          <w:numId w:val="2"/>
        </w:numPr>
        <w:tabs>
          <w:tab w:val="left" w:pos="851"/>
        </w:tabs>
        <w:spacing w:before="60" w:after="6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Австрія, Нідерланди (окрім, наприклад, одомашнених видів, включаючи, зокрема, верблюдів, </w:t>
      </w:r>
      <w:proofErr w:type="spellStart"/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альпак</w:t>
      </w:r>
      <w:proofErr w:type="spellEnd"/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, лам), Хорватія та Словенія – заборонили використання всіх диких тварин у цирках;</w:t>
      </w:r>
    </w:p>
    <w:p w:rsidR="00673D8A" w:rsidRPr="00492A6D" w:rsidRDefault="00673D8A" w:rsidP="00673D8A">
      <w:pPr>
        <w:pStyle w:val="11"/>
        <w:numPr>
          <w:ilvl w:val="0"/>
          <w:numId w:val="2"/>
        </w:numPr>
        <w:tabs>
          <w:tab w:val="left" w:pos="851"/>
        </w:tabs>
        <w:spacing w:before="60" w:after="6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Бельгія (окрім, наприклад, папуг, верблюдів, лам), Данія (окрім слонів, морських левів, зебр, лисиць, норок, папуг), Фінляндія, Угорщина (поширюється, наприклад, на тварин, які народилися в дикій природі, слонів, носорогів та ін.), Чехія, Словаччина, Болгарія (окрім дельфінів), Португалія та Швеція – заборонили використання окремих видів диких тварин у цирках;</w:t>
      </w:r>
    </w:p>
    <w:p w:rsidR="00673D8A" w:rsidRPr="00492A6D" w:rsidRDefault="00673D8A" w:rsidP="00673D8A">
      <w:pPr>
        <w:pStyle w:val="11"/>
        <w:numPr>
          <w:ilvl w:val="0"/>
          <w:numId w:val="2"/>
        </w:numPr>
        <w:tabs>
          <w:tab w:val="left" w:pos="851"/>
        </w:tabs>
        <w:spacing w:before="60" w:after="6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Естонія, Польща</w:t>
      </w:r>
      <w:r w:rsidR="003A36B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3A36B7"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Латвії</w:t>
      </w: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– заборонили використання в цирках тварин, які народилися в дикій природі.     </w:t>
      </w:r>
    </w:p>
    <w:p w:rsidR="00673D8A" w:rsidRPr="00492A6D" w:rsidRDefault="00673D8A" w:rsidP="00673D8A">
      <w:pPr>
        <w:pStyle w:val="1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 деяких країнах існують заборони на місцевому рівні, включаючи Польщу, Ірландію, Іспанію та Великобританію. </w:t>
      </w:r>
    </w:p>
    <w:p w:rsidR="00673D8A" w:rsidRPr="00492A6D" w:rsidRDefault="00673D8A" w:rsidP="00673D8A">
      <w:pPr>
        <w:pStyle w:val="1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Отже, </w:t>
      </w:r>
      <w:r w:rsidRPr="00492A6D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>в переважній більшості держав-членів ЄС, в яких існує обмеження чи заборона використання тварин у цирках, така заборона стосується саме диких тварин</w:t>
      </w: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Підставою для запровадження такої заборони, як правило, є захист тварин, а також те, що за своєю суттю, цирки (насамперед, пересувні) не спроможні забезпечити диким тваринам (або окремим видам диких тварин) умови, які б відповідали їх специфічним фізичним, психологічним та поведінковим потребам. </w:t>
      </w:r>
    </w:p>
    <w:p w:rsidR="0093665F" w:rsidRDefault="00673D8A" w:rsidP="0093665F">
      <w:pPr>
        <w:pStyle w:val="1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 деяких країнах (наприклад, в Німеччині), в яких використання в цирках диких тварин залишається дозволеним, з метою захисту тварин запроваджено юридично зобов’язуючі мінімальні стандарти або юридично незобов’язуючі керівні настанови </w:t>
      </w: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для добробуту циркових тварин на додаток до будь-яких загальних вимог в рамках загального законодавства щодо захисту тварин від жорстокого поводження. </w:t>
      </w:r>
    </w:p>
    <w:p w:rsidR="0093665F" w:rsidRPr="0093665F" w:rsidRDefault="0093665F" w:rsidP="0093665F">
      <w:pPr>
        <w:pStyle w:val="1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3665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 частині внесення змін до Кодексу України про адміністративні правопорушення щодо встановлення відповідальності за порушення правил поводження з тваринами, які використовуються у видовищних заходах, у спорті, при організації дозвілля, слід зазначити, що згадані зміни не суперечать праву ЄС, оскільки аналогічні правовідносини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також </w:t>
      </w:r>
      <w:r w:rsidRPr="0093665F">
        <w:rPr>
          <w:rFonts w:ascii="Times New Roman" w:eastAsia="Times New Roman" w:hAnsi="Times New Roman"/>
          <w:sz w:val="28"/>
          <w:szCs w:val="28"/>
          <w:lang w:val="uk-UA" w:eastAsia="ru-RU"/>
        </w:rPr>
        <w:t>регулюються на рівні національного законодавства держав-членів ЄС.</w:t>
      </w:r>
    </w:p>
    <w:p w:rsidR="0093665F" w:rsidRDefault="0093665F" w:rsidP="0093665F">
      <w:pPr>
        <w:pStyle w:val="1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3665F">
        <w:rPr>
          <w:rFonts w:ascii="Times New Roman" w:eastAsia="Times New Roman" w:hAnsi="Times New Roman"/>
          <w:sz w:val="28"/>
          <w:szCs w:val="28"/>
          <w:lang w:val="uk-UA" w:eastAsia="ru-RU"/>
        </w:rPr>
        <w:t>Враховуючи все вищевикладене, проект Закону не суперечить праву ЄС та зобов’язанням України відповідно до Угоди про асоціацію.</w:t>
      </w:r>
    </w:p>
    <w:p w:rsidR="00673D8A" w:rsidRPr="00492A6D" w:rsidRDefault="00CA7033" w:rsidP="00673D8A">
      <w:pPr>
        <w:pStyle w:val="1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673D8A"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</w:t>
      </w:r>
    </w:p>
    <w:p w:rsidR="00673D8A" w:rsidRPr="00492A6D" w:rsidRDefault="00673D8A" w:rsidP="009019A0">
      <w:pPr>
        <w:spacing w:after="60"/>
        <w:ind w:firstLine="567"/>
        <w:jc w:val="both"/>
        <w:rPr>
          <w:bCs/>
        </w:rPr>
      </w:pPr>
      <w:r w:rsidRPr="00492A6D">
        <w:rPr>
          <w:rFonts w:eastAsia="Verdana"/>
          <w:b/>
          <w:bCs/>
        </w:rPr>
        <w:t>4.</w:t>
      </w:r>
      <w:r w:rsidRPr="00492A6D">
        <w:rPr>
          <w:rFonts w:eastAsia="Verdana"/>
          <w:bCs/>
        </w:rPr>
        <w:t>   </w:t>
      </w:r>
      <w:r w:rsidRPr="00492A6D">
        <w:rPr>
          <w:b/>
        </w:rPr>
        <w:t xml:space="preserve">Висновок Комітету з </w:t>
      </w:r>
      <w:r w:rsidR="00BA4732" w:rsidRPr="00492A6D">
        <w:rPr>
          <w:b/>
        </w:rPr>
        <w:t>питань інтеграції України з Європейським Союзом</w:t>
      </w:r>
      <w:r w:rsidRPr="00492A6D">
        <w:rPr>
          <w:b/>
        </w:rPr>
        <w:t xml:space="preserve">. </w:t>
      </w:r>
    </w:p>
    <w:p w:rsidR="00673D8A" w:rsidRPr="00492A6D" w:rsidRDefault="00673D8A" w:rsidP="00673D8A">
      <w:pPr>
        <w:spacing w:before="60" w:after="60"/>
        <w:ind w:firstLine="567"/>
        <w:jc w:val="both"/>
        <w:rPr>
          <w:rFonts w:eastAsia="MS Mincho"/>
          <w:lang w:eastAsia="en-US"/>
        </w:rPr>
      </w:pPr>
      <w:r w:rsidRPr="00492A6D">
        <w:rPr>
          <w:rFonts w:eastAsia="MS Mincho"/>
          <w:lang w:eastAsia="en-US"/>
        </w:rPr>
        <w:t xml:space="preserve">Проект Закону </w:t>
      </w:r>
      <w:r w:rsidRPr="00492A6D">
        <w:t>не суперечить праву Європейського Союзу та зобов’язанням України відповідно до Угоди про асоціацію.</w:t>
      </w:r>
      <w:r w:rsidRPr="00492A6D">
        <w:rPr>
          <w:rFonts w:eastAsia="MS Mincho"/>
          <w:lang w:eastAsia="en-US"/>
        </w:rPr>
        <w:t xml:space="preserve"> </w:t>
      </w:r>
    </w:p>
    <w:p w:rsidR="00673D8A" w:rsidRPr="00492A6D" w:rsidRDefault="00673D8A" w:rsidP="00673D8A">
      <w:pPr>
        <w:spacing w:before="60" w:after="60"/>
      </w:pPr>
    </w:p>
    <w:p w:rsidR="00B6095F" w:rsidRPr="00492A6D" w:rsidRDefault="00B6095F">
      <w:bookmarkStart w:id="0" w:name="_GoBack"/>
      <w:bookmarkEnd w:id="0"/>
    </w:p>
    <w:sectPr w:rsidR="00B6095F" w:rsidRPr="00492A6D" w:rsidSect="004A505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746" w:bottom="1135" w:left="1134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2B28" w:rsidRDefault="00D12B28">
      <w:r>
        <w:separator/>
      </w:r>
    </w:p>
  </w:endnote>
  <w:endnote w:type="continuationSeparator" w:id="0">
    <w:p w:rsidR="00D12B28" w:rsidRDefault="00D12B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791C" w:rsidRDefault="00DD2133" w:rsidP="004147B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A791C" w:rsidRDefault="00D12B28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76593033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780C9F" w:rsidRPr="00780C9F" w:rsidRDefault="00DD2133">
        <w:pPr>
          <w:pStyle w:val="a3"/>
          <w:jc w:val="center"/>
          <w:rPr>
            <w:sz w:val="24"/>
            <w:szCs w:val="24"/>
          </w:rPr>
        </w:pPr>
        <w:r w:rsidRPr="00780C9F">
          <w:rPr>
            <w:sz w:val="24"/>
            <w:szCs w:val="24"/>
          </w:rPr>
          <w:fldChar w:fldCharType="begin"/>
        </w:r>
        <w:r w:rsidRPr="00780C9F">
          <w:rPr>
            <w:sz w:val="24"/>
            <w:szCs w:val="24"/>
          </w:rPr>
          <w:instrText>PAGE   \* MERGEFORMAT</w:instrText>
        </w:r>
        <w:r w:rsidRPr="00780C9F">
          <w:rPr>
            <w:sz w:val="24"/>
            <w:szCs w:val="24"/>
          </w:rPr>
          <w:fldChar w:fldCharType="separate"/>
        </w:r>
        <w:r w:rsidR="00906CE5">
          <w:rPr>
            <w:noProof/>
            <w:sz w:val="24"/>
            <w:szCs w:val="24"/>
          </w:rPr>
          <w:t>4</w:t>
        </w:r>
        <w:r w:rsidRPr="00780C9F">
          <w:rPr>
            <w:sz w:val="24"/>
            <w:szCs w:val="24"/>
          </w:rPr>
          <w:fldChar w:fldCharType="end"/>
        </w:r>
      </w:p>
    </w:sdtContent>
  </w:sdt>
  <w:p w:rsidR="00BA791C" w:rsidRDefault="00D12B28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495F" w:rsidRDefault="00D12B28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2B28" w:rsidRDefault="00D12B28">
      <w:r>
        <w:separator/>
      </w:r>
    </w:p>
  </w:footnote>
  <w:footnote w:type="continuationSeparator" w:id="0">
    <w:p w:rsidR="00D12B28" w:rsidRDefault="00D12B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495F" w:rsidRDefault="00D12B28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495F" w:rsidRDefault="00D12B28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495F" w:rsidRDefault="00D12B28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B6B1C"/>
    <w:multiLevelType w:val="hybridMultilevel"/>
    <w:tmpl w:val="1A2A24C4"/>
    <w:lvl w:ilvl="0" w:tplc="645223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E371E8"/>
    <w:multiLevelType w:val="hybridMultilevel"/>
    <w:tmpl w:val="4796CAA8"/>
    <w:lvl w:ilvl="0" w:tplc="3AF63CA6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14132F"/>
    <w:multiLevelType w:val="hybridMultilevel"/>
    <w:tmpl w:val="516E5B62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718676A4"/>
    <w:multiLevelType w:val="hybridMultilevel"/>
    <w:tmpl w:val="93406CFC"/>
    <w:lvl w:ilvl="0" w:tplc="0422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D8A"/>
    <w:rsid w:val="00083046"/>
    <w:rsid w:val="00116B6D"/>
    <w:rsid w:val="00166B9F"/>
    <w:rsid w:val="001D2059"/>
    <w:rsid w:val="002240B4"/>
    <w:rsid w:val="00254E94"/>
    <w:rsid w:val="002F4FB0"/>
    <w:rsid w:val="003A36B7"/>
    <w:rsid w:val="00492A6D"/>
    <w:rsid w:val="0066023C"/>
    <w:rsid w:val="00673D8A"/>
    <w:rsid w:val="007243AD"/>
    <w:rsid w:val="007E2ABB"/>
    <w:rsid w:val="00805B99"/>
    <w:rsid w:val="008A35AF"/>
    <w:rsid w:val="008B5186"/>
    <w:rsid w:val="009019A0"/>
    <w:rsid w:val="00906CE5"/>
    <w:rsid w:val="0093665F"/>
    <w:rsid w:val="00965BB8"/>
    <w:rsid w:val="00983871"/>
    <w:rsid w:val="00AE66A3"/>
    <w:rsid w:val="00B36D67"/>
    <w:rsid w:val="00B5447A"/>
    <w:rsid w:val="00B6095F"/>
    <w:rsid w:val="00BA4732"/>
    <w:rsid w:val="00BA6BFE"/>
    <w:rsid w:val="00BB5DCA"/>
    <w:rsid w:val="00BC14B4"/>
    <w:rsid w:val="00BF1DCC"/>
    <w:rsid w:val="00C67EC8"/>
    <w:rsid w:val="00CA7033"/>
    <w:rsid w:val="00CF1D55"/>
    <w:rsid w:val="00D12B28"/>
    <w:rsid w:val="00D70A30"/>
    <w:rsid w:val="00DD2133"/>
    <w:rsid w:val="00DE050F"/>
    <w:rsid w:val="00E45E78"/>
    <w:rsid w:val="00EA0746"/>
    <w:rsid w:val="00F46A63"/>
    <w:rsid w:val="00FC0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3D8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166B9F"/>
    <w:pPr>
      <w:keepNext/>
      <w:spacing w:before="240" w:after="240"/>
      <w:jc w:val="center"/>
      <w:outlineLvl w:val="0"/>
    </w:pPr>
    <w:rPr>
      <w:rFonts w:cs="Arial"/>
      <w:bCs/>
      <w:i/>
      <w:kern w:val="32"/>
      <w:sz w:val="19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673D8A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uiPriority w:val="99"/>
    <w:rsid w:val="00673D8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673D8A"/>
  </w:style>
  <w:style w:type="paragraph" w:customStyle="1" w:styleId="11">
    <w:name w:val="Абзац списку1"/>
    <w:basedOn w:val="a"/>
    <w:qFormat/>
    <w:rsid w:val="00673D8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a6">
    <w:name w:val="header"/>
    <w:basedOn w:val="a"/>
    <w:link w:val="a7"/>
    <w:uiPriority w:val="99"/>
    <w:unhideWhenUsed/>
    <w:rsid w:val="00673D8A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673D8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rsid w:val="00166B9F"/>
    <w:rPr>
      <w:rFonts w:ascii="Times New Roman" w:eastAsia="Times New Roman" w:hAnsi="Times New Roman" w:cs="Arial"/>
      <w:bCs/>
      <w:i/>
      <w:kern w:val="32"/>
      <w:sz w:val="19"/>
      <w:szCs w:val="32"/>
      <w:lang w:eastAsia="ru-RU"/>
    </w:rPr>
  </w:style>
  <w:style w:type="paragraph" w:styleId="a8">
    <w:name w:val="footnote text"/>
    <w:basedOn w:val="a"/>
    <w:link w:val="a9"/>
    <w:semiHidden/>
    <w:rsid w:val="00166B9F"/>
    <w:pPr>
      <w:ind w:left="284" w:hanging="284"/>
      <w:jc w:val="both"/>
    </w:pPr>
    <w:rPr>
      <w:sz w:val="16"/>
      <w:szCs w:val="16"/>
    </w:rPr>
  </w:style>
  <w:style w:type="character" w:customStyle="1" w:styleId="a9">
    <w:name w:val="Текст виноски Знак"/>
    <w:basedOn w:val="a0"/>
    <w:link w:val="a8"/>
    <w:semiHidden/>
    <w:rsid w:val="00166B9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66023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66023C"/>
    <w:rPr>
      <w:rFonts w:ascii="Courier New" w:eastAsia="Times New Roman" w:hAnsi="Courier New" w:cs="Courier New"/>
      <w:sz w:val="20"/>
      <w:szCs w:val="20"/>
      <w:lang w:eastAsia="uk-UA"/>
    </w:rPr>
  </w:style>
  <w:style w:type="character" w:styleId="aa">
    <w:name w:val="footnote reference"/>
    <w:basedOn w:val="a0"/>
    <w:semiHidden/>
    <w:rsid w:val="00EA074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6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3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6156</Words>
  <Characters>3509</Characters>
  <Application>Microsoft Office Word</Application>
  <DocSecurity>0</DocSecurity>
  <Lines>29</Lines>
  <Paragraphs>19</Paragraphs>
  <ScaleCrop>false</ScaleCrop>
  <Company/>
  <LinksUpToDate>false</LinksUpToDate>
  <CharactersWithSpaces>9646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2020-03-03T09:02:00Z</dcterms:created>
  <dcterms:modified xsi:type="dcterms:W3CDTF">2020-03-05T14:13:00Z</dcterms:modified>
</cp:coreProperties>
</file>