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B28" w:rsidRPr="008429D0" w:rsidRDefault="00136B28" w:rsidP="00136B28">
      <w:pPr>
        <w:ind w:firstLine="567"/>
        <w:jc w:val="center"/>
        <w:outlineLvl w:val="4"/>
        <w:rPr>
          <w:b/>
          <w:bCs/>
        </w:rPr>
      </w:pPr>
      <w:r w:rsidRPr="008429D0">
        <w:rPr>
          <w:b/>
          <w:bCs/>
        </w:rPr>
        <w:t>ВИСНОВОК</w:t>
      </w:r>
    </w:p>
    <w:p w:rsidR="00136B28" w:rsidRPr="008429D0" w:rsidRDefault="00136B28" w:rsidP="00136B28">
      <w:pPr>
        <w:ind w:firstLine="567"/>
        <w:jc w:val="center"/>
        <w:outlineLvl w:val="4"/>
        <w:rPr>
          <w:b/>
          <w:bCs/>
        </w:rPr>
      </w:pPr>
      <w:r w:rsidRPr="008429D0">
        <w:rPr>
          <w:b/>
          <w:bCs/>
        </w:rPr>
        <w:t xml:space="preserve">Комітету Верховної Ради України з питань </w:t>
      </w:r>
      <w:r w:rsidRPr="008429D0">
        <w:rPr>
          <w:b/>
        </w:rPr>
        <w:t xml:space="preserve">інтеграції України з Європейським Союзом </w:t>
      </w:r>
      <w:r w:rsidRPr="008429D0">
        <w:rPr>
          <w:b/>
          <w:bCs/>
        </w:rPr>
        <w:t xml:space="preserve">щодо проекту Закону України </w:t>
      </w:r>
    </w:p>
    <w:p w:rsidR="00136B28" w:rsidRPr="008429D0" w:rsidRDefault="00136B28" w:rsidP="00136B28">
      <w:pPr>
        <w:ind w:firstLine="567"/>
        <w:jc w:val="center"/>
        <w:outlineLvl w:val="4"/>
        <w:rPr>
          <w:b/>
          <w:bCs/>
        </w:rPr>
      </w:pPr>
      <w:r w:rsidRPr="008429D0">
        <w:rPr>
          <w:b/>
          <w:bCs/>
        </w:rPr>
        <w:t xml:space="preserve">«Про управління відходами» </w:t>
      </w:r>
    </w:p>
    <w:p w:rsidR="00136B28" w:rsidRPr="008429D0" w:rsidRDefault="00136B28" w:rsidP="00136B28">
      <w:pPr>
        <w:ind w:firstLine="567"/>
        <w:jc w:val="center"/>
        <w:outlineLvl w:val="4"/>
        <w:rPr>
          <w:b/>
          <w:bCs/>
        </w:rPr>
      </w:pPr>
      <w:r w:rsidRPr="008429D0">
        <w:rPr>
          <w:b/>
          <w:bCs/>
        </w:rPr>
        <w:t>(реєстр. № 2207</w:t>
      </w:r>
      <w:r w:rsidR="005B50BC" w:rsidRPr="008429D0">
        <w:rPr>
          <w:b/>
          <w:bCs/>
        </w:rPr>
        <w:t>-1</w:t>
      </w:r>
      <w:r w:rsidRPr="008429D0">
        <w:rPr>
          <w:b/>
          <w:bCs/>
        </w:rPr>
        <w:t xml:space="preserve"> від </w:t>
      </w:r>
      <w:r w:rsidR="005B50BC" w:rsidRPr="008429D0">
        <w:rPr>
          <w:b/>
          <w:bCs/>
        </w:rPr>
        <w:t>16</w:t>
      </w:r>
      <w:r w:rsidRPr="008429D0">
        <w:rPr>
          <w:b/>
          <w:bCs/>
        </w:rPr>
        <w:t xml:space="preserve">.10.2019 р., </w:t>
      </w:r>
      <w:proofErr w:type="spellStart"/>
      <w:r w:rsidRPr="008429D0">
        <w:rPr>
          <w:b/>
          <w:bCs/>
        </w:rPr>
        <w:t>н.д</w:t>
      </w:r>
      <w:proofErr w:type="spellEnd"/>
      <w:r w:rsidRPr="008429D0">
        <w:rPr>
          <w:b/>
          <w:bCs/>
        </w:rPr>
        <w:t xml:space="preserve">. </w:t>
      </w:r>
      <w:r w:rsidR="005B50BC" w:rsidRPr="008429D0">
        <w:rPr>
          <w:b/>
          <w:bCs/>
        </w:rPr>
        <w:t>О</w:t>
      </w:r>
      <w:r w:rsidRPr="008429D0">
        <w:rPr>
          <w:b/>
          <w:bCs/>
        </w:rPr>
        <w:t xml:space="preserve">. </w:t>
      </w:r>
      <w:r w:rsidR="005B50BC" w:rsidRPr="008429D0">
        <w:rPr>
          <w:b/>
          <w:bCs/>
        </w:rPr>
        <w:t>Бондаренко</w:t>
      </w:r>
      <w:r w:rsidRPr="008429D0">
        <w:rPr>
          <w:b/>
          <w:bCs/>
        </w:rPr>
        <w:t xml:space="preserve"> та інші) </w:t>
      </w:r>
    </w:p>
    <w:p w:rsidR="00136B28" w:rsidRPr="008429D0" w:rsidRDefault="00136B28" w:rsidP="00136B28">
      <w:pPr>
        <w:spacing w:before="240"/>
        <w:ind w:firstLine="567"/>
        <w:jc w:val="both"/>
        <w:rPr>
          <w:b/>
        </w:rPr>
      </w:pPr>
      <w:r w:rsidRPr="008429D0">
        <w:rPr>
          <w:b/>
        </w:rPr>
        <w:t>1. Загальна характеристика законопроекту.</w:t>
      </w:r>
    </w:p>
    <w:p w:rsidR="00911AA1" w:rsidRPr="008429D0" w:rsidRDefault="00911AA1" w:rsidP="00911AA1">
      <w:pPr>
        <w:pStyle w:val="rvps2"/>
        <w:tabs>
          <w:tab w:val="left" w:pos="851"/>
        </w:tabs>
        <w:spacing w:before="60" w:beforeAutospacing="0" w:after="0" w:afterAutospacing="0"/>
        <w:ind w:firstLine="567"/>
        <w:jc w:val="both"/>
        <w:rPr>
          <w:sz w:val="28"/>
          <w:szCs w:val="28"/>
          <w:lang w:val="uk-UA"/>
        </w:rPr>
      </w:pPr>
      <w:r w:rsidRPr="008429D0">
        <w:rPr>
          <w:sz w:val="28"/>
          <w:szCs w:val="28"/>
          <w:lang w:val="uk-UA"/>
        </w:rPr>
        <w:t>Метою п</w:t>
      </w:r>
      <w:r w:rsidR="00136B28" w:rsidRPr="008429D0">
        <w:rPr>
          <w:sz w:val="28"/>
          <w:szCs w:val="28"/>
          <w:lang w:val="uk-UA"/>
        </w:rPr>
        <w:t>роект</w:t>
      </w:r>
      <w:r w:rsidRPr="008429D0">
        <w:rPr>
          <w:sz w:val="28"/>
          <w:szCs w:val="28"/>
          <w:lang w:val="uk-UA"/>
        </w:rPr>
        <w:t>у</w:t>
      </w:r>
      <w:r w:rsidR="00136B28" w:rsidRPr="008429D0">
        <w:rPr>
          <w:sz w:val="28"/>
          <w:szCs w:val="28"/>
          <w:lang w:val="uk-UA"/>
        </w:rPr>
        <w:t xml:space="preserve"> Закону, відповідно до пояснювальної записки, </w:t>
      </w:r>
      <w:r w:rsidRPr="008429D0">
        <w:rPr>
          <w:sz w:val="28"/>
          <w:szCs w:val="28"/>
          <w:lang w:val="uk-UA"/>
        </w:rPr>
        <w:t>є вдосконалення системи управління відходами, визначення  правових, організаційних, економічних засад та механізмів контролю для забезпечення всебічного захисту здоров’я людей та довкілля шляхом впровадження заходів для запобігання або зменшення утворення відходів, зниження негативних наслідків від управління відходами, сприяння підготовці їх до повторного використання і відновленню як вторинної сировини та енергетичних ресурсів.</w:t>
      </w:r>
    </w:p>
    <w:p w:rsidR="00136B28" w:rsidRPr="008429D0" w:rsidRDefault="00136B28" w:rsidP="00136B28">
      <w:pPr>
        <w:spacing w:before="240"/>
        <w:ind w:firstLine="567"/>
        <w:jc w:val="both"/>
        <w:rPr>
          <w:b/>
          <w:bCs/>
        </w:rPr>
      </w:pPr>
      <w:r w:rsidRPr="008429D0">
        <w:rPr>
          <w:rFonts w:eastAsia="Verdana"/>
          <w:b/>
          <w:bCs/>
        </w:rPr>
        <w:t>2.  </w:t>
      </w:r>
      <w:r w:rsidRPr="008429D0">
        <w:rPr>
          <w:b/>
          <w:bCs/>
        </w:rPr>
        <w:t>Належність законопроекту за предметом правового регулювання до сфери дії права Європейського Союзу.</w:t>
      </w:r>
    </w:p>
    <w:p w:rsidR="00136B28" w:rsidRPr="008429D0" w:rsidRDefault="00136B28" w:rsidP="00136B28">
      <w:pPr>
        <w:spacing w:before="60" w:after="60"/>
        <w:ind w:firstLine="567"/>
        <w:jc w:val="both"/>
      </w:pPr>
      <w:r w:rsidRPr="008429D0">
        <w:t>Предмет правового регулювання законопроекту охоплюється положеннями Глави 6 «Навколишнє середовище» Розділу V «Економічне та галузеве співробітництво» та Додатку ХХХ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136B28" w:rsidRPr="008429D0" w:rsidRDefault="00136B28" w:rsidP="00136B28">
      <w:pPr>
        <w:ind w:firstLine="567"/>
        <w:jc w:val="both"/>
      </w:pPr>
      <w:r w:rsidRPr="008429D0">
        <w:t>Правовідносини, які є предметом правового регулювання законопроекту, в Європейському Союзі регулюються:</w:t>
      </w:r>
    </w:p>
    <w:p w:rsidR="00136B28" w:rsidRPr="008429D0" w:rsidRDefault="00136B28" w:rsidP="00136B28">
      <w:pPr>
        <w:pStyle w:val="a7"/>
        <w:numPr>
          <w:ilvl w:val="0"/>
          <w:numId w:val="1"/>
        </w:numPr>
        <w:tabs>
          <w:tab w:val="left" w:pos="851"/>
        </w:tabs>
        <w:ind w:left="0" w:firstLine="567"/>
        <w:jc w:val="both"/>
        <w:rPr>
          <w:color w:val="000000" w:themeColor="text1"/>
        </w:rPr>
      </w:pPr>
      <w:r w:rsidRPr="008429D0">
        <w:rPr>
          <w:i/>
          <w:color w:val="000000" w:themeColor="text1"/>
        </w:rPr>
        <w:t>Директивою 2008/98/ЄС Європейського Парламенту та Ради від 19 листопада 2008 року про відходи та скасування окремих директив</w:t>
      </w:r>
      <w:r w:rsidRPr="008429D0">
        <w:rPr>
          <w:color w:val="000000" w:themeColor="text1"/>
        </w:rPr>
        <w:t xml:space="preserve"> (</w:t>
      </w:r>
      <w:proofErr w:type="spellStart"/>
      <w:r w:rsidRPr="008429D0">
        <w:rPr>
          <w:color w:val="000000" w:themeColor="text1"/>
        </w:rPr>
        <w:t>Official</w:t>
      </w:r>
      <w:proofErr w:type="spellEnd"/>
      <w:r w:rsidRPr="008429D0">
        <w:rPr>
          <w:color w:val="000000" w:themeColor="text1"/>
        </w:rPr>
        <w:t xml:space="preserve"> </w:t>
      </w:r>
      <w:proofErr w:type="spellStart"/>
      <w:r w:rsidRPr="008429D0">
        <w:rPr>
          <w:color w:val="000000" w:themeColor="text1"/>
        </w:rPr>
        <w:t>Journal</w:t>
      </w:r>
      <w:proofErr w:type="spellEnd"/>
      <w:r w:rsidRPr="008429D0">
        <w:rPr>
          <w:color w:val="000000" w:themeColor="text1"/>
        </w:rPr>
        <w:t xml:space="preserve"> L 312, 22.11.2008, р. 3–30) (далі – Директива 2008/98/ЄС);      </w:t>
      </w:r>
    </w:p>
    <w:p w:rsidR="00136B28" w:rsidRPr="008429D0" w:rsidRDefault="00136B28" w:rsidP="00136B28">
      <w:pPr>
        <w:pStyle w:val="a7"/>
        <w:numPr>
          <w:ilvl w:val="0"/>
          <w:numId w:val="1"/>
        </w:numPr>
        <w:tabs>
          <w:tab w:val="left" w:pos="851"/>
        </w:tabs>
        <w:spacing w:before="60" w:after="60"/>
        <w:ind w:left="0" w:firstLine="567"/>
        <w:jc w:val="both"/>
        <w:rPr>
          <w:color w:val="000000" w:themeColor="text1"/>
        </w:rPr>
      </w:pPr>
      <w:r w:rsidRPr="008429D0">
        <w:rPr>
          <w:i/>
          <w:color w:val="000000" w:themeColor="text1"/>
        </w:rPr>
        <w:t>Директивою 2018/851/ЄС Європейського Парламенту та Ради від 30 травня 2018 року про внесення змін до Директиви 2008/98/ЄС про</w:t>
      </w:r>
      <w:r w:rsidRPr="008429D0">
        <w:rPr>
          <w:b/>
          <w:bCs/>
          <w:i/>
          <w:color w:val="000000" w:themeColor="text1"/>
        </w:rPr>
        <w:t xml:space="preserve"> </w:t>
      </w:r>
      <w:r w:rsidRPr="008429D0">
        <w:rPr>
          <w:bCs/>
          <w:i/>
          <w:color w:val="000000" w:themeColor="text1"/>
        </w:rPr>
        <w:t>відходи</w:t>
      </w:r>
      <w:r w:rsidRPr="008429D0">
        <w:rPr>
          <w:bCs/>
          <w:color w:val="000000" w:themeColor="text1"/>
        </w:rPr>
        <w:t xml:space="preserve"> </w:t>
      </w:r>
      <w:r w:rsidRPr="008429D0">
        <w:rPr>
          <w:color w:val="000000" w:themeColor="text1"/>
        </w:rPr>
        <w:t>(</w:t>
      </w:r>
      <w:proofErr w:type="spellStart"/>
      <w:r w:rsidRPr="008429D0">
        <w:rPr>
          <w:color w:val="000000" w:themeColor="text1"/>
        </w:rPr>
        <w:t>Official</w:t>
      </w:r>
      <w:proofErr w:type="spellEnd"/>
      <w:r w:rsidRPr="008429D0">
        <w:rPr>
          <w:color w:val="000000" w:themeColor="text1"/>
        </w:rPr>
        <w:t xml:space="preserve"> </w:t>
      </w:r>
      <w:proofErr w:type="spellStart"/>
      <w:r w:rsidRPr="008429D0">
        <w:rPr>
          <w:color w:val="000000" w:themeColor="text1"/>
        </w:rPr>
        <w:t>Journal</w:t>
      </w:r>
      <w:proofErr w:type="spellEnd"/>
      <w:r w:rsidRPr="008429D0">
        <w:rPr>
          <w:color w:val="000000" w:themeColor="text1"/>
        </w:rPr>
        <w:t xml:space="preserve"> L 150, 14.06.2018, р. 109 – 140) (далі – Директива 2018/851/ЄС);</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t>Директивою Ради 1999/31/ЄС від 26 квітня 1999 року про захоронення відходів</w:t>
      </w:r>
      <w:r w:rsidRPr="008429D0">
        <w:t xml:space="preserve"> (</w:t>
      </w:r>
      <w:proofErr w:type="spellStart"/>
      <w:r w:rsidRPr="008429D0">
        <w:t>Official</w:t>
      </w:r>
      <w:proofErr w:type="spellEnd"/>
      <w:r w:rsidRPr="008429D0">
        <w:t xml:space="preserve"> </w:t>
      </w:r>
      <w:proofErr w:type="spellStart"/>
      <w:r w:rsidRPr="008429D0">
        <w:t>Journal</w:t>
      </w:r>
      <w:proofErr w:type="spellEnd"/>
      <w:r w:rsidRPr="008429D0">
        <w:t xml:space="preserve"> L 182, 16.07.1999, р. 1–19) (далі – Директива 1999/31/ЄС);</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t>Директивою 2006/21/ЄС Європейського Парламенту та Ради від 15 березня 2006 року про управління відходами видобувної промисловості та внесення змін до Директиви 2004/35/ЄС</w:t>
      </w:r>
      <w:r w:rsidRPr="008429D0">
        <w:t xml:space="preserve"> (</w:t>
      </w:r>
      <w:proofErr w:type="spellStart"/>
      <w:r w:rsidRPr="008429D0">
        <w:t>Official</w:t>
      </w:r>
      <w:proofErr w:type="spellEnd"/>
      <w:r w:rsidRPr="008429D0">
        <w:t xml:space="preserve"> </w:t>
      </w:r>
      <w:proofErr w:type="spellStart"/>
      <w:r w:rsidRPr="008429D0">
        <w:t>Journal</w:t>
      </w:r>
      <w:proofErr w:type="spellEnd"/>
      <w:r w:rsidRPr="008429D0">
        <w:t xml:space="preserve"> L 102, 11.04.2006, р. 15–34) (далі – Директива 2006/21/ЄС); </w:t>
      </w:r>
      <w:r w:rsidRPr="008429D0">
        <w:rPr>
          <w:i/>
          <w:iCs/>
        </w:rPr>
        <w:t xml:space="preserve"> </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t>Директивою 94/62/ЄС Європейського Парламенту та Ради від 20 грудня 1994 року про упаковку та відходи упаковки</w:t>
      </w:r>
      <w:r w:rsidRPr="008429D0">
        <w:t xml:space="preserve"> (</w:t>
      </w:r>
      <w:proofErr w:type="spellStart"/>
      <w:r w:rsidRPr="008429D0">
        <w:t>Official</w:t>
      </w:r>
      <w:proofErr w:type="spellEnd"/>
      <w:r w:rsidRPr="008429D0">
        <w:t xml:space="preserve"> </w:t>
      </w:r>
      <w:proofErr w:type="spellStart"/>
      <w:r w:rsidRPr="008429D0">
        <w:t>Journal</w:t>
      </w:r>
      <w:proofErr w:type="spellEnd"/>
      <w:r w:rsidRPr="008429D0">
        <w:t xml:space="preserve"> L 365, 31.12.1994, р. 10–23) (далі – Директива 94/62/ЄС);</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t xml:space="preserve">Директивою 2012/19/ЄС Європейського Парламенту та Ради від 4 липня 2012 року про відходи електричного та електронного обладнання (ВЕЕО) </w:t>
      </w:r>
      <w:r w:rsidRPr="008429D0">
        <w:t>(</w:t>
      </w:r>
      <w:proofErr w:type="spellStart"/>
      <w:r w:rsidRPr="008429D0">
        <w:t>Official</w:t>
      </w:r>
      <w:proofErr w:type="spellEnd"/>
      <w:r w:rsidRPr="008429D0">
        <w:t xml:space="preserve"> </w:t>
      </w:r>
      <w:proofErr w:type="spellStart"/>
      <w:r w:rsidRPr="008429D0">
        <w:t>Journal</w:t>
      </w:r>
      <w:proofErr w:type="spellEnd"/>
      <w:r w:rsidRPr="008429D0">
        <w:t xml:space="preserve"> L 197, 24.07.2012, р. 38–71) (далі – Директива 2012/19/ЄС);</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t xml:space="preserve">Директивою 2006/66/ЄС Європейського Парламенту та Ради від 6 вересня 2006 року про батарейки і акумулятори та відпрацьовані батарейки і акумулятори та про скасування Директиви 91/157/ЄЕС </w:t>
      </w:r>
      <w:r w:rsidRPr="008429D0">
        <w:t>(</w:t>
      </w:r>
      <w:proofErr w:type="spellStart"/>
      <w:r w:rsidRPr="008429D0">
        <w:t>Official</w:t>
      </w:r>
      <w:proofErr w:type="spellEnd"/>
      <w:r w:rsidRPr="008429D0">
        <w:t xml:space="preserve"> </w:t>
      </w:r>
      <w:proofErr w:type="spellStart"/>
      <w:r w:rsidRPr="008429D0">
        <w:t>Journal</w:t>
      </w:r>
      <w:proofErr w:type="spellEnd"/>
      <w:r w:rsidRPr="008429D0">
        <w:t xml:space="preserve"> L 266, 26.09.2006, р. 1–14) (далі – Директива 2006/66/ЄС);</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lastRenderedPageBreak/>
        <w:t>Директивою 2010/75/ЄС Європейського Парламенту та Ради від 24 листопада 2010 року про промислові викиди (інтегроване запобігання та контроль забруднення)</w:t>
      </w:r>
      <w:r w:rsidRPr="008429D0">
        <w:t xml:space="preserve"> (</w:t>
      </w:r>
      <w:proofErr w:type="spellStart"/>
      <w:r w:rsidRPr="008429D0">
        <w:t>Official</w:t>
      </w:r>
      <w:proofErr w:type="spellEnd"/>
      <w:r w:rsidRPr="008429D0">
        <w:t xml:space="preserve"> </w:t>
      </w:r>
      <w:proofErr w:type="spellStart"/>
      <w:r w:rsidRPr="008429D0">
        <w:t>Journal</w:t>
      </w:r>
      <w:proofErr w:type="spellEnd"/>
      <w:r w:rsidRPr="008429D0">
        <w:t xml:space="preserve"> L 334, 17.12.2010, р. 17–119) (далі – Директива 2010/75/ЄС);</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t xml:space="preserve">Регламентом (ЄЄ) № 1013/2006 Європейського Парламенту та Ради від 14 червня 2006 року про перевезення відходів </w:t>
      </w:r>
      <w:r w:rsidRPr="008429D0">
        <w:t>(</w:t>
      </w:r>
      <w:proofErr w:type="spellStart"/>
      <w:r w:rsidRPr="008429D0">
        <w:t>Official</w:t>
      </w:r>
      <w:proofErr w:type="spellEnd"/>
      <w:r w:rsidRPr="008429D0">
        <w:t xml:space="preserve"> </w:t>
      </w:r>
      <w:proofErr w:type="spellStart"/>
      <w:r w:rsidRPr="008429D0">
        <w:t>Journal</w:t>
      </w:r>
      <w:proofErr w:type="spellEnd"/>
      <w:r w:rsidRPr="008429D0">
        <w:t xml:space="preserve"> L 190, 12.07.2006, р. 1–98) (далі – Регламент (ЄС) № 1013/2006);</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t>Регламентом Комісії (ЄЄ) № 1357/2014 від 18 грудня 2014 року, що замінює Додаток III до Директиви 2008/98/ЄС</w:t>
      </w:r>
      <w:r w:rsidRPr="008429D0">
        <w:t xml:space="preserve"> </w:t>
      </w:r>
      <w:r w:rsidRPr="008429D0">
        <w:rPr>
          <w:i/>
        </w:rPr>
        <w:t xml:space="preserve">Європейського Парламенту та Ради про відходи </w:t>
      </w:r>
      <w:r w:rsidRPr="008429D0">
        <w:rPr>
          <w:i/>
          <w:color w:val="000000" w:themeColor="text1"/>
        </w:rPr>
        <w:t>та скасування окремих директив</w:t>
      </w:r>
      <w:r w:rsidRPr="008429D0">
        <w:t xml:space="preserve"> (</w:t>
      </w:r>
      <w:proofErr w:type="spellStart"/>
      <w:r w:rsidRPr="008429D0">
        <w:t>Official</w:t>
      </w:r>
      <w:proofErr w:type="spellEnd"/>
      <w:r w:rsidRPr="008429D0">
        <w:t xml:space="preserve"> </w:t>
      </w:r>
      <w:proofErr w:type="spellStart"/>
      <w:r w:rsidRPr="008429D0">
        <w:t>Journal</w:t>
      </w:r>
      <w:proofErr w:type="spellEnd"/>
      <w:r w:rsidRPr="008429D0">
        <w:t xml:space="preserve"> L 365, 19.12.2014, р. 89–96) (далі – Регламент Комісії (ЄС) № 1357/2014);</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t>Регламентом Ради (ЄЄ) 2017/997 від 8 червня 2017 року щодо внесення змін до Додатку III Директиви 2008/98/ЄС</w:t>
      </w:r>
      <w:r w:rsidRPr="008429D0">
        <w:t xml:space="preserve"> </w:t>
      </w:r>
      <w:r w:rsidRPr="008429D0">
        <w:rPr>
          <w:i/>
        </w:rPr>
        <w:t>Європейського Парламенту та Ради в частині небезпечної властивості НР 14 «</w:t>
      </w:r>
      <w:proofErr w:type="spellStart"/>
      <w:r w:rsidRPr="008429D0">
        <w:rPr>
          <w:i/>
        </w:rPr>
        <w:t>Екотоксичні</w:t>
      </w:r>
      <w:proofErr w:type="spellEnd"/>
      <w:r w:rsidRPr="008429D0">
        <w:rPr>
          <w:i/>
        </w:rPr>
        <w:t>»</w:t>
      </w:r>
      <w:r w:rsidRPr="008429D0">
        <w:t xml:space="preserve"> (</w:t>
      </w:r>
      <w:proofErr w:type="spellStart"/>
      <w:r w:rsidRPr="008429D0">
        <w:t>Official</w:t>
      </w:r>
      <w:proofErr w:type="spellEnd"/>
      <w:r w:rsidRPr="008429D0">
        <w:t xml:space="preserve"> </w:t>
      </w:r>
      <w:proofErr w:type="spellStart"/>
      <w:r w:rsidRPr="008429D0">
        <w:t>Journal</w:t>
      </w:r>
      <w:proofErr w:type="spellEnd"/>
      <w:r w:rsidRPr="008429D0">
        <w:t xml:space="preserve"> L 150, 14.06.2017, р. 1–4) (далі – Регламент Ради (ЄС) № 2017/997);</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t xml:space="preserve">Регламентом Ради (ЄЄ) № 333/2011 від 31 березня 2011 року щодо критеріїв, за наявності яких певні види металобрухту перестають бути відходами відповідно до Директиви 2008/98/ЄС Європейського Парламенту та Ради </w:t>
      </w:r>
      <w:r w:rsidRPr="008429D0">
        <w:t>(</w:t>
      </w:r>
      <w:proofErr w:type="spellStart"/>
      <w:r w:rsidRPr="008429D0">
        <w:t>Official</w:t>
      </w:r>
      <w:proofErr w:type="spellEnd"/>
      <w:r w:rsidRPr="008429D0">
        <w:t xml:space="preserve"> </w:t>
      </w:r>
      <w:proofErr w:type="spellStart"/>
      <w:r w:rsidRPr="008429D0">
        <w:t>Journal</w:t>
      </w:r>
      <w:proofErr w:type="spellEnd"/>
      <w:r w:rsidRPr="008429D0">
        <w:t xml:space="preserve"> L 94, 08.04.2011, р. 2–11) (далі – Регламент Ради (ЄС) № 333/2011);</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t>Регламентом Комісії (ЄЄ) № 1179/2012 від 10 грудня 2012 року щодо критеріїв, за наявності яких склобій перестає бути відходами відповідно до Директиви 2008/98/ЄС Європейського Парламенту та Ради</w:t>
      </w:r>
      <w:r w:rsidRPr="008429D0">
        <w:t xml:space="preserve"> (</w:t>
      </w:r>
      <w:proofErr w:type="spellStart"/>
      <w:r w:rsidRPr="008429D0">
        <w:t>Official</w:t>
      </w:r>
      <w:proofErr w:type="spellEnd"/>
      <w:r w:rsidRPr="008429D0">
        <w:t xml:space="preserve"> </w:t>
      </w:r>
      <w:proofErr w:type="spellStart"/>
      <w:r w:rsidRPr="008429D0">
        <w:t>Journal</w:t>
      </w:r>
      <w:proofErr w:type="spellEnd"/>
      <w:r w:rsidRPr="008429D0">
        <w:t xml:space="preserve"> L 337, 11.12.2012, р. 31–36) (далі – Регламент Ради (ЄС) № 1179/2012); </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t>Регламентом Комісії (ЄЄ) № 715/2013 від 25 липня 2013 року щодо критеріїв, за наявності яких лом міді перестає бути відходами відповідно до Директиви 2008/98/ЄС Європейського Парламенту та Ради</w:t>
      </w:r>
      <w:r w:rsidRPr="008429D0">
        <w:t xml:space="preserve"> (</w:t>
      </w:r>
      <w:proofErr w:type="spellStart"/>
      <w:r w:rsidRPr="008429D0">
        <w:t>Official</w:t>
      </w:r>
      <w:proofErr w:type="spellEnd"/>
      <w:r w:rsidRPr="008429D0">
        <w:t xml:space="preserve"> </w:t>
      </w:r>
      <w:proofErr w:type="spellStart"/>
      <w:r w:rsidRPr="008429D0">
        <w:t>Journal</w:t>
      </w:r>
      <w:proofErr w:type="spellEnd"/>
      <w:r w:rsidRPr="008429D0">
        <w:t xml:space="preserve"> L 201, 26.07.2013, р. 14–20) (далі – Регламент Ради (ЄС) № 715/2013);  </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t>Повідомленням Комісії C/2018/1447 про технічні рекомендації щодо класифікації відходів</w:t>
      </w:r>
      <w:r w:rsidRPr="008429D0">
        <w:t xml:space="preserve"> (</w:t>
      </w:r>
      <w:proofErr w:type="spellStart"/>
      <w:r w:rsidRPr="008429D0">
        <w:t>Official</w:t>
      </w:r>
      <w:proofErr w:type="spellEnd"/>
      <w:r w:rsidRPr="008429D0">
        <w:t xml:space="preserve"> </w:t>
      </w:r>
      <w:proofErr w:type="spellStart"/>
      <w:r w:rsidRPr="008429D0">
        <w:t>Journal</w:t>
      </w:r>
      <w:proofErr w:type="spellEnd"/>
      <w:r w:rsidRPr="008429D0">
        <w:t xml:space="preserve"> С 124, 09.04.2018, р. 1–134) (Повідомлення Комісії C/2018/1447);</w:t>
      </w:r>
    </w:p>
    <w:p w:rsidR="00136B28" w:rsidRPr="008429D0" w:rsidRDefault="00136B28" w:rsidP="00136B28">
      <w:pPr>
        <w:pStyle w:val="a7"/>
        <w:numPr>
          <w:ilvl w:val="0"/>
          <w:numId w:val="1"/>
        </w:numPr>
        <w:tabs>
          <w:tab w:val="left" w:pos="851"/>
        </w:tabs>
        <w:spacing w:before="60" w:after="60"/>
        <w:ind w:left="0" w:firstLine="567"/>
        <w:jc w:val="both"/>
      </w:pPr>
      <w:r w:rsidRPr="008429D0">
        <w:rPr>
          <w:i/>
        </w:rPr>
        <w:t xml:space="preserve">Рішення Комісії 2014/955/ЄС від 18 грудня 2014 року про внесення змін до рішення 2000/532/ЄС про перелік відходів відповідно до Директиви 2008/98/ЄС </w:t>
      </w:r>
      <w:r w:rsidRPr="008429D0">
        <w:rPr>
          <w:i/>
          <w:color w:val="000000" w:themeColor="text1"/>
        </w:rPr>
        <w:t>Європейського Парламенту та Ради</w:t>
      </w:r>
      <w:r w:rsidRPr="008429D0">
        <w:t xml:space="preserve"> (</w:t>
      </w:r>
      <w:proofErr w:type="spellStart"/>
      <w:r w:rsidRPr="008429D0">
        <w:t>Official</w:t>
      </w:r>
      <w:proofErr w:type="spellEnd"/>
      <w:r w:rsidRPr="008429D0">
        <w:t xml:space="preserve"> </w:t>
      </w:r>
      <w:proofErr w:type="spellStart"/>
      <w:r w:rsidRPr="008429D0">
        <w:t>Journal</w:t>
      </w:r>
      <w:proofErr w:type="spellEnd"/>
      <w:r w:rsidRPr="008429D0">
        <w:t xml:space="preserve"> L 370, 30.12.2014, р. 44–86) (далі – Рішення Комісії 2014/955/ЄС).</w:t>
      </w:r>
    </w:p>
    <w:p w:rsidR="00136B28" w:rsidRPr="008429D0" w:rsidRDefault="00136B28" w:rsidP="00136B28">
      <w:pPr>
        <w:spacing w:before="60" w:after="60"/>
        <w:ind w:firstLine="567"/>
        <w:jc w:val="both"/>
      </w:pPr>
      <w:r w:rsidRPr="008429D0">
        <w:rPr>
          <w:color w:val="000000" w:themeColor="text1"/>
        </w:rPr>
        <w:t xml:space="preserve">Міжнародно-правовим актом з питань, які є предметом регулювання законопроекту є </w:t>
      </w:r>
      <w:r w:rsidRPr="008429D0">
        <w:rPr>
          <w:i/>
        </w:rPr>
        <w:t>Базельська конвенція про контроль за транскордонним перевезенням небезпечних відходів та їх видаленням</w:t>
      </w:r>
      <w:r w:rsidRPr="008429D0">
        <w:t xml:space="preserve"> (Україна приєдналася згідно із Законом України від 1 липня 1999 року № 803-ХIV.</w:t>
      </w:r>
    </w:p>
    <w:p w:rsidR="00136B28" w:rsidRPr="008429D0" w:rsidRDefault="00136B28" w:rsidP="00136B28">
      <w:pPr>
        <w:spacing w:before="60" w:after="60"/>
        <w:ind w:firstLine="567"/>
        <w:jc w:val="both"/>
      </w:pPr>
    </w:p>
    <w:p w:rsidR="00136B28" w:rsidRPr="008429D0" w:rsidRDefault="00136B28" w:rsidP="00136B28">
      <w:pPr>
        <w:ind w:firstLine="567"/>
        <w:jc w:val="both"/>
        <w:rPr>
          <w:b/>
        </w:rPr>
      </w:pPr>
      <w:r w:rsidRPr="008429D0">
        <w:rPr>
          <w:rFonts w:eastAsia="Verdana"/>
          <w:b/>
          <w:bCs/>
        </w:rPr>
        <w:t>3.  </w:t>
      </w:r>
      <w:r w:rsidRPr="008429D0">
        <w:rPr>
          <w:b/>
        </w:rPr>
        <w:t>Відповідність законопроекту праву ЄС.</w:t>
      </w:r>
    </w:p>
    <w:p w:rsidR="00136B28" w:rsidRPr="008429D0" w:rsidRDefault="00136B28" w:rsidP="00136B28">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8429D0">
        <w:rPr>
          <w:rFonts w:ascii="Times New Roman" w:eastAsia="Times New Roman" w:hAnsi="Times New Roman"/>
          <w:sz w:val="28"/>
          <w:szCs w:val="28"/>
          <w:lang w:val="uk-UA" w:eastAsia="ru-RU"/>
        </w:rPr>
        <w:t>aquis</w:t>
      </w:r>
      <w:proofErr w:type="spellEnd"/>
      <w:r w:rsidRPr="008429D0">
        <w:rPr>
          <w:rFonts w:ascii="Times New Roman" w:eastAsia="Times New Roman" w:hAnsi="Times New Roman"/>
          <w:sz w:val="28"/>
          <w:szCs w:val="28"/>
          <w:lang w:val="uk-UA" w:eastAsia="ru-RU"/>
        </w:rPr>
        <w:t xml:space="preserve"> ЄС та Угоді про асоціацію слід зазначити таке.</w:t>
      </w:r>
    </w:p>
    <w:p w:rsidR="00136B28" w:rsidRPr="008429D0" w:rsidRDefault="00136B28" w:rsidP="00136B28">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Так, </w:t>
      </w:r>
      <w:r w:rsidRPr="008429D0">
        <w:rPr>
          <w:rFonts w:ascii="Times New Roman" w:eastAsia="Times New Roman" w:hAnsi="Times New Roman"/>
          <w:i/>
          <w:sz w:val="28"/>
          <w:szCs w:val="28"/>
          <w:lang w:val="uk-UA" w:eastAsia="ru-RU"/>
        </w:rPr>
        <w:t>статтею 361 Угоди про асоціацію</w:t>
      </w:r>
      <w:r w:rsidRPr="008429D0">
        <w:rPr>
          <w:rFonts w:ascii="Times New Roman" w:eastAsia="Times New Roman" w:hAnsi="Times New Roman"/>
          <w:sz w:val="28"/>
          <w:szCs w:val="28"/>
          <w:lang w:val="uk-UA" w:eastAsia="ru-RU"/>
        </w:rPr>
        <w:t xml:space="preserve"> передбачено, що співробітництво має на меті збереження, захист, поліпшення і відтворення якості навколишнього середовища, розсудливе та раціональне використання природних ресурсів та </w:t>
      </w:r>
      <w:r w:rsidRPr="008429D0">
        <w:rPr>
          <w:rFonts w:ascii="Times New Roman" w:eastAsia="Times New Roman" w:hAnsi="Times New Roman"/>
          <w:sz w:val="28"/>
          <w:szCs w:val="28"/>
          <w:lang w:val="uk-UA" w:eastAsia="ru-RU"/>
        </w:rPr>
        <w:lastRenderedPageBreak/>
        <w:t xml:space="preserve">заохочення заходів на міжнародному рівні, спрямованих на вирішення регіональних і глобальних проблем навколишнього середовища, зокрема, у сфері управління відходами та ресурсами. </w:t>
      </w:r>
    </w:p>
    <w:p w:rsidR="00136B28" w:rsidRPr="008429D0" w:rsidRDefault="00136B28" w:rsidP="00136B28">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У </w:t>
      </w:r>
      <w:r w:rsidRPr="008429D0">
        <w:rPr>
          <w:rFonts w:ascii="Times New Roman" w:eastAsia="Times New Roman" w:hAnsi="Times New Roman"/>
          <w:i/>
          <w:sz w:val="28"/>
          <w:szCs w:val="28"/>
          <w:lang w:val="uk-UA" w:eastAsia="ru-RU"/>
        </w:rPr>
        <w:t>статті 363 Угоди про асоціацію</w:t>
      </w:r>
      <w:r w:rsidRPr="008429D0">
        <w:rPr>
          <w:rFonts w:ascii="Times New Roman" w:eastAsia="Times New Roman" w:hAnsi="Times New Roman"/>
          <w:sz w:val="28"/>
          <w:szCs w:val="28"/>
          <w:lang w:val="uk-UA" w:eastAsia="ru-RU"/>
        </w:rPr>
        <w:t xml:space="preserve"> зазначено, що поступове наближення законодавства України до права та політики ЄЄ у сфері охорони навколишнього природного середовища здійснюється відповідно до Додатка XXX до цієї Угоди.</w:t>
      </w:r>
    </w:p>
    <w:p w:rsidR="00136B28" w:rsidRPr="008429D0" w:rsidRDefault="00136B28" w:rsidP="00136B28">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Згідно з Додатком ХХХ до Угоди про асоціацію, Україна взяла на себе зобов’язання поступово наблизити національне законодавство до положень </w:t>
      </w:r>
      <w:r w:rsidRPr="008429D0">
        <w:rPr>
          <w:rFonts w:ascii="Times New Roman" w:eastAsia="Times New Roman" w:hAnsi="Times New Roman"/>
          <w:i/>
          <w:sz w:val="28"/>
          <w:szCs w:val="28"/>
          <w:lang w:val="uk-UA" w:eastAsia="ru-RU"/>
        </w:rPr>
        <w:t>Директиви 2008/98/ЄС,</w:t>
      </w:r>
      <w:r w:rsidRPr="008429D0">
        <w:rPr>
          <w:rFonts w:ascii="Times New Roman" w:eastAsia="Times New Roman" w:hAnsi="Times New Roman"/>
          <w:sz w:val="28"/>
          <w:szCs w:val="28"/>
          <w:lang w:val="uk-UA" w:eastAsia="ru-RU"/>
        </w:rPr>
        <w:t xml:space="preserve"> </w:t>
      </w:r>
      <w:r w:rsidRPr="008429D0">
        <w:rPr>
          <w:rFonts w:ascii="Times New Roman" w:eastAsia="Times New Roman" w:hAnsi="Times New Roman"/>
          <w:i/>
          <w:sz w:val="28"/>
          <w:szCs w:val="28"/>
          <w:lang w:val="uk-UA" w:eastAsia="ru-RU"/>
        </w:rPr>
        <w:t xml:space="preserve">Директиви 1999/31/ЄС </w:t>
      </w:r>
      <w:r w:rsidRPr="008429D0">
        <w:rPr>
          <w:rFonts w:ascii="Times New Roman" w:eastAsia="Times New Roman" w:hAnsi="Times New Roman"/>
          <w:sz w:val="28"/>
          <w:szCs w:val="28"/>
          <w:lang w:val="uk-UA" w:eastAsia="ru-RU"/>
        </w:rPr>
        <w:t>та</w:t>
      </w:r>
      <w:r w:rsidRPr="008429D0">
        <w:rPr>
          <w:rFonts w:ascii="Times New Roman" w:eastAsia="Times New Roman" w:hAnsi="Times New Roman"/>
          <w:i/>
          <w:sz w:val="28"/>
          <w:szCs w:val="28"/>
          <w:lang w:val="uk-UA" w:eastAsia="ru-RU"/>
        </w:rPr>
        <w:t xml:space="preserve"> Директиви 2006/21/ЄС</w:t>
      </w:r>
      <w:r w:rsidRPr="008429D0">
        <w:rPr>
          <w:rFonts w:ascii="Times New Roman" w:eastAsia="Times New Roman" w:hAnsi="Times New Roman"/>
          <w:sz w:val="28"/>
          <w:szCs w:val="28"/>
          <w:lang w:val="uk-UA" w:eastAsia="ru-RU"/>
        </w:rPr>
        <w:t xml:space="preserve">. Принагідно варто зазначити, що імплементація цих директив у національне законодавство України передбачена Планом заходів з виконання Угоди про асоціацію, затвердженим постановою Кабінету Міністрів України 25 жовтня 2017 р. № 1106. </w:t>
      </w:r>
    </w:p>
    <w:p w:rsidR="00136B28" w:rsidRPr="008429D0" w:rsidRDefault="00136B28" w:rsidP="00136B28">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Так, Україна повинна забезпечити ефективне впровадження у свою національну правову систему положень </w:t>
      </w:r>
      <w:r w:rsidRPr="008429D0">
        <w:rPr>
          <w:rFonts w:ascii="Times New Roman" w:eastAsia="Times New Roman" w:hAnsi="Times New Roman"/>
          <w:i/>
          <w:sz w:val="28"/>
          <w:szCs w:val="28"/>
          <w:lang w:val="uk-UA" w:eastAsia="ru-RU"/>
        </w:rPr>
        <w:t>Директиви 2008/98/ЄС</w:t>
      </w:r>
      <w:r w:rsidRPr="008429D0">
        <w:rPr>
          <w:rFonts w:ascii="Times New Roman" w:eastAsia="Times New Roman" w:hAnsi="Times New Roman"/>
          <w:sz w:val="28"/>
          <w:szCs w:val="28"/>
          <w:lang w:val="uk-UA" w:eastAsia="ru-RU"/>
        </w:rPr>
        <w:t xml:space="preserve"> щодо: підготовки планів з управління відходами згідно із </w:t>
      </w:r>
      <w:proofErr w:type="spellStart"/>
      <w:r w:rsidRPr="008429D0">
        <w:rPr>
          <w:rFonts w:ascii="Times New Roman" w:eastAsia="Times New Roman" w:hAnsi="Times New Roman"/>
          <w:sz w:val="28"/>
          <w:szCs w:val="28"/>
          <w:lang w:val="uk-UA" w:eastAsia="ru-RU"/>
        </w:rPr>
        <w:t>п’ятиетапною</w:t>
      </w:r>
      <w:proofErr w:type="spellEnd"/>
      <w:r w:rsidRPr="008429D0">
        <w:rPr>
          <w:rFonts w:ascii="Times New Roman" w:eastAsia="Times New Roman" w:hAnsi="Times New Roman"/>
          <w:sz w:val="28"/>
          <w:szCs w:val="28"/>
          <w:lang w:val="uk-UA" w:eastAsia="ru-RU"/>
        </w:rPr>
        <w:t xml:space="preserve"> ієрархією відходів та програм щодо попередження утворення відходів; встановлення механізму повного покриття витрат згідно з принципом «забруднювач платить» та принципом розширеної відповідальності виробника; встановлення дозвільної системи для установ/підприємств, що здійснюють операції з видалення чи утилізації відходів, з особливими зобов’язаннями щодо управління небезпечними відходами; запровадження реєстру установ і підприємств, які здійснюють збір та транспортування відходів. </w:t>
      </w:r>
    </w:p>
    <w:p w:rsidR="00136B28" w:rsidRPr="008429D0" w:rsidRDefault="00136B28" w:rsidP="00136B28">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Також Україна повинна забезпечити ефективне впровадження у свою національну правову систему положень </w:t>
      </w:r>
      <w:r w:rsidRPr="008429D0">
        <w:rPr>
          <w:rFonts w:ascii="Times New Roman" w:eastAsia="Times New Roman" w:hAnsi="Times New Roman"/>
          <w:i/>
          <w:sz w:val="28"/>
          <w:szCs w:val="28"/>
          <w:lang w:val="uk-UA" w:eastAsia="ru-RU"/>
        </w:rPr>
        <w:t>Директиви 1999/31/ЄС</w:t>
      </w:r>
      <w:r w:rsidRPr="008429D0">
        <w:rPr>
          <w:rFonts w:ascii="Times New Roman" w:eastAsia="Times New Roman" w:hAnsi="Times New Roman"/>
          <w:sz w:val="28"/>
          <w:szCs w:val="28"/>
          <w:lang w:val="uk-UA" w:eastAsia="ru-RU"/>
        </w:rPr>
        <w:t>, а саме щодо: класифікації місць захоронення відходів; підготовки національної стратегії щодо зменшення кількості міських відходів, що розкладаються під впливом мікроорганізмів (</w:t>
      </w:r>
      <w:proofErr w:type="spellStart"/>
      <w:r w:rsidRPr="008429D0">
        <w:rPr>
          <w:rFonts w:ascii="Times New Roman" w:eastAsia="Times New Roman" w:hAnsi="Times New Roman"/>
          <w:sz w:val="28"/>
          <w:szCs w:val="28"/>
          <w:lang w:val="uk-UA" w:eastAsia="ru-RU"/>
        </w:rPr>
        <w:t>біорозкладані</w:t>
      </w:r>
      <w:proofErr w:type="spellEnd"/>
      <w:r w:rsidRPr="008429D0">
        <w:rPr>
          <w:rFonts w:ascii="Times New Roman" w:eastAsia="Times New Roman" w:hAnsi="Times New Roman"/>
          <w:sz w:val="28"/>
          <w:szCs w:val="28"/>
          <w:lang w:val="uk-UA" w:eastAsia="ru-RU"/>
        </w:rPr>
        <w:t>), які спрямовуються на полігони; встановлення системи процедур подачі заяв та надання дозволів, а також процедур прийняття відходів на полігони; встановлення процедур контролю та моніторингу під час функціонування та закриття полігонів, а також процедур подальшого догляду після закриття з метою забезпечення їх знешкодження; впровадження планів очистки існуючих місць захоронення; встановлення механізму обчислення вартості захоронення відходів; забезпечення необхідного оброблення відповідних відходів перед їх захороненням (направленням на полігони/</w:t>
      </w:r>
      <w:proofErr w:type="spellStart"/>
      <w:r w:rsidRPr="008429D0">
        <w:rPr>
          <w:rFonts w:ascii="Times New Roman" w:eastAsia="Times New Roman" w:hAnsi="Times New Roman"/>
          <w:sz w:val="28"/>
          <w:szCs w:val="28"/>
          <w:lang w:val="uk-UA" w:eastAsia="ru-RU"/>
        </w:rPr>
        <w:t>сміттєсховища</w:t>
      </w:r>
      <w:proofErr w:type="spellEnd"/>
      <w:r w:rsidRPr="008429D0">
        <w:rPr>
          <w:rFonts w:ascii="Times New Roman" w:eastAsia="Times New Roman" w:hAnsi="Times New Roman"/>
          <w:sz w:val="28"/>
          <w:szCs w:val="28"/>
          <w:lang w:val="uk-UA" w:eastAsia="ru-RU"/>
        </w:rPr>
        <w:t>).</w:t>
      </w:r>
    </w:p>
    <w:p w:rsidR="002E00E0" w:rsidRPr="008429D0" w:rsidRDefault="00136B28" w:rsidP="002E00E0">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u w:val="single"/>
          <w:lang w:val="uk-UA" w:eastAsia="ru-RU"/>
        </w:rPr>
        <w:t>В частині понятійного апарату</w:t>
      </w:r>
      <w:r w:rsidRPr="008429D0">
        <w:rPr>
          <w:rFonts w:ascii="Times New Roman" w:eastAsia="Times New Roman" w:hAnsi="Times New Roman"/>
          <w:sz w:val="28"/>
          <w:szCs w:val="28"/>
          <w:lang w:val="uk-UA" w:eastAsia="ru-RU"/>
        </w:rPr>
        <w:t xml:space="preserve"> слід звернути увагу</w:t>
      </w:r>
      <w:r w:rsidR="002E00E0" w:rsidRPr="008429D0">
        <w:rPr>
          <w:rFonts w:ascii="Times New Roman" w:eastAsia="Times New Roman" w:hAnsi="Times New Roman"/>
          <w:sz w:val="28"/>
          <w:szCs w:val="28"/>
          <w:lang w:val="uk-UA" w:eastAsia="ru-RU"/>
        </w:rPr>
        <w:t>, що запропоновані проектом Закону терміни «утворювач відходів», «</w:t>
      </w:r>
      <w:proofErr w:type="spellStart"/>
      <w:r w:rsidR="002E00E0" w:rsidRPr="008429D0">
        <w:rPr>
          <w:rFonts w:ascii="Times New Roman" w:eastAsia="Times New Roman" w:hAnsi="Times New Roman"/>
          <w:sz w:val="28"/>
          <w:szCs w:val="28"/>
          <w:lang w:val="uk-UA" w:eastAsia="ru-RU"/>
        </w:rPr>
        <w:t>біовідходи</w:t>
      </w:r>
      <w:proofErr w:type="spellEnd"/>
      <w:r w:rsidR="002E00E0" w:rsidRPr="008429D0">
        <w:rPr>
          <w:rFonts w:ascii="Times New Roman" w:eastAsia="Times New Roman" w:hAnsi="Times New Roman"/>
          <w:sz w:val="28"/>
          <w:szCs w:val="28"/>
          <w:lang w:val="uk-UA" w:eastAsia="ru-RU"/>
        </w:rPr>
        <w:t xml:space="preserve">», «управління відходами» частково відповідають аналогічним визначенням, передбаченим </w:t>
      </w:r>
      <w:r w:rsidR="002E00E0" w:rsidRPr="008429D0">
        <w:rPr>
          <w:rFonts w:ascii="Times New Roman" w:eastAsia="Times New Roman" w:hAnsi="Times New Roman"/>
          <w:i/>
          <w:sz w:val="28"/>
          <w:szCs w:val="28"/>
          <w:lang w:val="uk-UA" w:eastAsia="ru-RU"/>
        </w:rPr>
        <w:t>статтею 3 Директиви 2008/98/ЄС</w:t>
      </w:r>
      <w:r w:rsidR="002E00E0" w:rsidRPr="008429D0">
        <w:rPr>
          <w:rFonts w:ascii="Times New Roman" w:eastAsia="Times New Roman" w:hAnsi="Times New Roman"/>
          <w:sz w:val="28"/>
          <w:szCs w:val="28"/>
          <w:lang w:val="uk-UA" w:eastAsia="ru-RU"/>
        </w:rPr>
        <w:t xml:space="preserve">. </w:t>
      </w:r>
    </w:p>
    <w:p w:rsidR="00804189" w:rsidRPr="008429D0" w:rsidRDefault="002E00E0" w:rsidP="002E00E0">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Разом з цим, </w:t>
      </w:r>
      <w:r w:rsidRPr="008429D0">
        <w:rPr>
          <w:rFonts w:ascii="Times New Roman" w:eastAsia="Times New Roman" w:hAnsi="Times New Roman"/>
          <w:i/>
          <w:sz w:val="28"/>
          <w:szCs w:val="28"/>
          <w:lang w:val="uk-UA" w:eastAsia="ru-RU"/>
        </w:rPr>
        <w:t>Директивою 2008/98/ЄС</w:t>
      </w:r>
      <w:r w:rsidRPr="008429D0">
        <w:rPr>
          <w:rFonts w:ascii="Times New Roman" w:eastAsia="Times New Roman" w:hAnsi="Times New Roman"/>
          <w:sz w:val="28"/>
          <w:szCs w:val="28"/>
          <w:lang w:val="uk-UA" w:eastAsia="ru-RU"/>
        </w:rPr>
        <w:t xml:space="preserve"> визначаються також терміни: «відпрацьовані оливи (мастила)», «відновлення відпрацьованих олив», «харчові відходи», «дилер», «брокер» тощо, які в проекті Закону не транспоновано.</w:t>
      </w:r>
    </w:p>
    <w:p w:rsidR="002E00E0" w:rsidRPr="008429D0" w:rsidRDefault="002E00E0" w:rsidP="002E00E0">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Проект Закону </w:t>
      </w:r>
      <w:r w:rsidRPr="008429D0">
        <w:rPr>
          <w:rFonts w:ascii="Times New Roman" w:eastAsia="Times New Roman" w:hAnsi="Times New Roman"/>
          <w:sz w:val="28"/>
          <w:szCs w:val="28"/>
          <w:u w:val="single"/>
          <w:lang w:val="uk-UA" w:eastAsia="ru-RU"/>
        </w:rPr>
        <w:t xml:space="preserve">в частині запровадження принципу розширеної відповідальності виробника не враховує положення </w:t>
      </w:r>
      <w:r w:rsidRPr="008429D0">
        <w:rPr>
          <w:rFonts w:ascii="Times New Roman" w:eastAsia="Times New Roman" w:hAnsi="Times New Roman"/>
          <w:i/>
          <w:sz w:val="28"/>
          <w:szCs w:val="28"/>
          <w:u w:val="single"/>
          <w:lang w:val="uk-UA" w:eastAsia="ru-RU"/>
        </w:rPr>
        <w:t>Директиви 2008/98/ЄС</w:t>
      </w:r>
      <w:r w:rsidRPr="008429D0">
        <w:rPr>
          <w:rFonts w:ascii="Times New Roman" w:eastAsia="Times New Roman" w:hAnsi="Times New Roman"/>
          <w:sz w:val="28"/>
          <w:szCs w:val="28"/>
          <w:lang w:val="uk-UA" w:eastAsia="ru-RU"/>
        </w:rPr>
        <w:t>, якою визначаються правовий статус дилерів та брокерів, які залучаються до процесу управління відходами.</w:t>
      </w:r>
      <w:r w:rsidR="00804189" w:rsidRPr="008429D0">
        <w:rPr>
          <w:rFonts w:ascii="Times New Roman" w:eastAsia="Times New Roman" w:hAnsi="Times New Roman"/>
          <w:sz w:val="28"/>
          <w:szCs w:val="28"/>
          <w:lang w:val="uk-UA" w:eastAsia="ru-RU"/>
        </w:rPr>
        <w:t xml:space="preserve"> </w:t>
      </w:r>
    </w:p>
    <w:p w:rsidR="00804189" w:rsidRPr="008429D0" w:rsidRDefault="00804189" w:rsidP="00804189">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lastRenderedPageBreak/>
        <w:t xml:space="preserve">Також стосовно </w:t>
      </w:r>
      <w:r w:rsidR="002E00E0" w:rsidRPr="008429D0">
        <w:rPr>
          <w:rFonts w:ascii="Times New Roman" w:eastAsia="Times New Roman" w:hAnsi="Times New Roman"/>
          <w:sz w:val="28"/>
          <w:szCs w:val="28"/>
          <w:lang w:val="uk-UA" w:eastAsia="ru-RU"/>
        </w:rPr>
        <w:t>запропонованого проектом Закону підходу до запровадження принципу розширеної відповідальності виробника слід зазначити</w:t>
      </w:r>
      <w:r w:rsidRPr="008429D0">
        <w:rPr>
          <w:rFonts w:ascii="Times New Roman" w:eastAsia="Times New Roman" w:hAnsi="Times New Roman"/>
          <w:sz w:val="28"/>
          <w:szCs w:val="28"/>
          <w:lang w:val="uk-UA" w:eastAsia="ru-RU"/>
        </w:rPr>
        <w:t xml:space="preserve"> таке</w:t>
      </w:r>
      <w:r w:rsidR="002E00E0" w:rsidRPr="008429D0">
        <w:rPr>
          <w:rFonts w:ascii="Times New Roman" w:eastAsia="Times New Roman" w:hAnsi="Times New Roman"/>
          <w:sz w:val="28"/>
          <w:szCs w:val="28"/>
          <w:lang w:val="uk-UA" w:eastAsia="ru-RU"/>
        </w:rPr>
        <w:t>.</w:t>
      </w:r>
    </w:p>
    <w:p w:rsidR="00804189" w:rsidRPr="008429D0" w:rsidRDefault="002E00E0" w:rsidP="00804189">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З</w:t>
      </w:r>
      <w:r w:rsidR="00804189" w:rsidRPr="008429D0">
        <w:rPr>
          <w:rFonts w:ascii="Times New Roman" w:eastAsia="Times New Roman" w:hAnsi="Times New Roman"/>
          <w:sz w:val="28"/>
          <w:szCs w:val="28"/>
          <w:lang w:val="uk-UA" w:eastAsia="ru-RU"/>
        </w:rPr>
        <w:t xml:space="preserve">гідно </w:t>
      </w:r>
      <w:r w:rsidRPr="008429D0">
        <w:rPr>
          <w:rFonts w:ascii="Times New Roman" w:eastAsia="Times New Roman" w:hAnsi="Times New Roman"/>
          <w:sz w:val="28"/>
          <w:szCs w:val="28"/>
          <w:lang w:val="uk-UA" w:eastAsia="ru-RU"/>
        </w:rPr>
        <w:t>з</w:t>
      </w:r>
      <w:r w:rsidR="00804189" w:rsidRPr="008429D0">
        <w:rPr>
          <w:rFonts w:ascii="Times New Roman" w:eastAsia="Times New Roman" w:hAnsi="Times New Roman"/>
          <w:sz w:val="28"/>
          <w:szCs w:val="28"/>
          <w:lang w:val="uk-UA" w:eastAsia="ru-RU"/>
        </w:rPr>
        <w:t>і</w:t>
      </w:r>
      <w:r w:rsidRPr="008429D0">
        <w:rPr>
          <w:rFonts w:ascii="Times New Roman" w:eastAsia="Times New Roman" w:hAnsi="Times New Roman"/>
          <w:sz w:val="28"/>
          <w:szCs w:val="28"/>
          <w:lang w:val="uk-UA" w:eastAsia="ru-RU"/>
        </w:rPr>
        <w:t xml:space="preserve"> </w:t>
      </w:r>
      <w:r w:rsidRPr="008429D0">
        <w:rPr>
          <w:rFonts w:ascii="Times New Roman" w:eastAsia="Times New Roman" w:hAnsi="Times New Roman"/>
          <w:i/>
          <w:sz w:val="28"/>
          <w:szCs w:val="28"/>
          <w:lang w:val="uk-UA" w:eastAsia="ru-RU"/>
        </w:rPr>
        <w:t>статтею 8 Директиви 2008/98/ЄС</w:t>
      </w:r>
      <w:r w:rsidRPr="008429D0">
        <w:rPr>
          <w:rFonts w:ascii="Times New Roman" w:eastAsia="Times New Roman" w:hAnsi="Times New Roman"/>
          <w:sz w:val="28"/>
          <w:szCs w:val="28"/>
          <w:lang w:val="uk-UA" w:eastAsia="ru-RU"/>
        </w:rPr>
        <w:t xml:space="preserve"> для посилення повторного використання, запобігання, </w:t>
      </w:r>
      <w:proofErr w:type="spellStart"/>
      <w:r w:rsidRPr="008429D0">
        <w:rPr>
          <w:rFonts w:ascii="Times New Roman" w:eastAsia="Times New Roman" w:hAnsi="Times New Roman"/>
          <w:sz w:val="28"/>
          <w:szCs w:val="28"/>
          <w:lang w:val="uk-UA" w:eastAsia="ru-RU"/>
        </w:rPr>
        <w:t>рециклінгу</w:t>
      </w:r>
      <w:proofErr w:type="spellEnd"/>
      <w:r w:rsidRPr="008429D0">
        <w:rPr>
          <w:rFonts w:ascii="Times New Roman" w:eastAsia="Times New Roman" w:hAnsi="Times New Roman"/>
          <w:sz w:val="28"/>
          <w:szCs w:val="28"/>
          <w:lang w:val="uk-UA" w:eastAsia="ru-RU"/>
        </w:rPr>
        <w:t xml:space="preserve"> та інших операцій з відновлення відходів держава-член може вжити законодавчих чи незаконодавчих заходів, щоб кожна фізична чи юридична особа, яка </w:t>
      </w:r>
      <w:proofErr w:type="spellStart"/>
      <w:r w:rsidRPr="008429D0">
        <w:rPr>
          <w:rFonts w:ascii="Times New Roman" w:eastAsia="Times New Roman" w:hAnsi="Times New Roman"/>
          <w:sz w:val="28"/>
          <w:szCs w:val="28"/>
          <w:lang w:val="uk-UA" w:eastAsia="ru-RU"/>
        </w:rPr>
        <w:t>професійно</w:t>
      </w:r>
      <w:proofErr w:type="spellEnd"/>
      <w:r w:rsidRPr="008429D0">
        <w:rPr>
          <w:rFonts w:ascii="Times New Roman" w:eastAsia="Times New Roman" w:hAnsi="Times New Roman"/>
          <w:sz w:val="28"/>
          <w:szCs w:val="28"/>
          <w:lang w:val="uk-UA" w:eastAsia="ru-RU"/>
        </w:rPr>
        <w:t xml:space="preserve"> розвиває, розробляє, виробляє, обробляє, продає чи імпортує продукти (виробник продукту) мала розширену відповідальність виробника.</w:t>
      </w:r>
    </w:p>
    <w:p w:rsidR="00804189" w:rsidRPr="008429D0" w:rsidRDefault="002E00E0" w:rsidP="00804189">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Такі заходи можуть включати прийом повернутих виробів та відходів, які залишаються після використання цих продуктів, а також подальше управління відходами та фінансова відповідальність за такі види діяльності. Ці заходи можуть включати </w:t>
      </w:r>
      <w:r w:rsidR="00804189" w:rsidRPr="008429D0">
        <w:rPr>
          <w:rFonts w:ascii="Times New Roman" w:eastAsia="Times New Roman" w:hAnsi="Times New Roman"/>
          <w:sz w:val="28"/>
          <w:szCs w:val="28"/>
          <w:lang w:val="uk-UA" w:eastAsia="ru-RU"/>
        </w:rPr>
        <w:t>зобов’язання</w:t>
      </w:r>
      <w:r w:rsidRPr="008429D0">
        <w:rPr>
          <w:rFonts w:ascii="Times New Roman" w:eastAsia="Times New Roman" w:hAnsi="Times New Roman"/>
          <w:sz w:val="28"/>
          <w:szCs w:val="28"/>
          <w:lang w:val="uk-UA" w:eastAsia="ru-RU"/>
        </w:rPr>
        <w:t xml:space="preserve"> надавати публічно доступну інформацію щодо того, наскільки продукт може бути повторно використаний і піддається переробці.</w:t>
      </w:r>
    </w:p>
    <w:p w:rsidR="00804189" w:rsidRPr="008429D0" w:rsidRDefault="002E00E0" w:rsidP="00804189">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i/>
          <w:sz w:val="28"/>
          <w:szCs w:val="28"/>
          <w:lang w:val="uk-UA" w:eastAsia="ru-RU"/>
        </w:rPr>
        <w:t>Директивою 2018/851/ЄС</w:t>
      </w:r>
      <w:r w:rsidRPr="008429D0">
        <w:rPr>
          <w:rFonts w:ascii="Times New Roman" w:eastAsia="Times New Roman" w:hAnsi="Times New Roman"/>
          <w:sz w:val="28"/>
          <w:szCs w:val="28"/>
          <w:lang w:val="uk-UA" w:eastAsia="ru-RU"/>
        </w:rPr>
        <w:t xml:space="preserve"> передбачається, що у разі запровадження розширеної відповідальності виробника, мають застосовуватися загальні мінімальні вимоги, викладені в статті 8а зазначеної Директиви.</w:t>
      </w:r>
    </w:p>
    <w:p w:rsidR="008429D0" w:rsidRPr="008429D0" w:rsidRDefault="00804189" w:rsidP="008429D0">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У</w:t>
      </w:r>
      <w:r w:rsidR="002E00E0" w:rsidRPr="008429D0">
        <w:rPr>
          <w:rFonts w:ascii="Times New Roman" w:eastAsia="Times New Roman" w:hAnsi="Times New Roman"/>
          <w:sz w:val="28"/>
          <w:szCs w:val="28"/>
          <w:lang w:val="uk-UA" w:eastAsia="ru-RU"/>
        </w:rPr>
        <w:t xml:space="preserve"> </w:t>
      </w:r>
      <w:r w:rsidR="002E00E0" w:rsidRPr="008429D0">
        <w:rPr>
          <w:rFonts w:ascii="Times New Roman" w:eastAsia="Times New Roman" w:hAnsi="Times New Roman"/>
          <w:i/>
          <w:sz w:val="28"/>
          <w:szCs w:val="28"/>
          <w:lang w:val="uk-UA" w:eastAsia="ru-RU"/>
        </w:rPr>
        <w:t>статт</w:t>
      </w:r>
      <w:r w:rsidRPr="008429D0">
        <w:rPr>
          <w:rFonts w:ascii="Times New Roman" w:eastAsia="Times New Roman" w:hAnsi="Times New Roman"/>
          <w:i/>
          <w:sz w:val="28"/>
          <w:szCs w:val="28"/>
          <w:lang w:val="uk-UA" w:eastAsia="ru-RU"/>
        </w:rPr>
        <w:t>і</w:t>
      </w:r>
      <w:r w:rsidR="002E00E0" w:rsidRPr="008429D0">
        <w:rPr>
          <w:rFonts w:ascii="Times New Roman" w:eastAsia="Times New Roman" w:hAnsi="Times New Roman"/>
          <w:i/>
          <w:sz w:val="28"/>
          <w:szCs w:val="28"/>
          <w:lang w:val="uk-UA" w:eastAsia="ru-RU"/>
        </w:rPr>
        <w:t xml:space="preserve"> 8а Директиви 2018/851/ЄС</w:t>
      </w:r>
      <w:r w:rsidR="002E00E0" w:rsidRPr="008429D0">
        <w:rPr>
          <w:rFonts w:ascii="Times New Roman" w:eastAsia="Times New Roman" w:hAnsi="Times New Roman"/>
          <w:sz w:val="28"/>
          <w:szCs w:val="28"/>
          <w:lang w:val="uk-UA" w:eastAsia="ru-RU"/>
        </w:rPr>
        <w:t xml:space="preserve"> передбачено, зокрема, що держави-члени повинні чітко визначити ролі та </w:t>
      </w:r>
      <w:r w:rsidRPr="008429D0">
        <w:rPr>
          <w:rFonts w:ascii="Times New Roman" w:eastAsia="Times New Roman" w:hAnsi="Times New Roman"/>
          <w:sz w:val="28"/>
          <w:szCs w:val="28"/>
          <w:lang w:val="uk-UA" w:eastAsia="ru-RU"/>
        </w:rPr>
        <w:t>обов’язки</w:t>
      </w:r>
      <w:r w:rsidR="002E00E0" w:rsidRPr="008429D0">
        <w:rPr>
          <w:rFonts w:ascii="Times New Roman" w:eastAsia="Times New Roman" w:hAnsi="Times New Roman"/>
          <w:sz w:val="28"/>
          <w:szCs w:val="28"/>
          <w:lang w:val="uk-UA" w:eastAsia="ru-RU"/>
        </w:rPr>
        <w:t xml:space="preserve"> всіх відповідних учасників, включаючи виробників продукції, що розміщують продукцію на ринку держави-члена, організацій, що виконують від свого імені </w:t>
      </w:r>
      <w:r w:rsidRPr="008429D0">
        <w:rPr>
          <w:rFonts w:ascii="Times New Roman" w:eastAsia="Times New Roman" w:hAnsi="Times New Roman"/>
          <w:sz w:val="28"/>
          <w:szCs w:val="28"/>
          <w:lang w:val="uk-UA" w:eastAsia="ru-RU"/>
        </w:rPr>
        <w:t>зобов’язання</w:t>
      </w:r>
      <w:r w:rsidR="002E00E0" w:rsidRPr="008429D0">
        <w:rPr>
          <w:rFonts w:ascii="Times New Roman" w:eastAsia="Times New Roman" w:hAnsi="Times New Roman"/>
          <w:sz w:val="28"/>
          <w:szCs w:val="28"/>
          <w:lang w:val="uk-UA" w:eastAsia="ru-RU"/>
        </w:rPr>
        <w:t xml:space="preserve"> із впровадження принципу розширеної відповідальності виробника, приватних або державних операторів, що здійснюють діяльність у сфері управління відходами, місцевих органів влади та якщо є доцільним, операторів і підприємств соціальної економіки, які здійснюють повторне використання та підготовку до повторного використання.</w:t>
      </w:r>
    </w:p>
    <w:p w:rsidR="008429D0" w:rsidRPr="008429D0" w:rsidRDefault="002E00E0" w:rsidP="008429D0">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Держави-члени повинні вжити необхідних заходів, щоб забезпечити, що фінансові внески, які сплачуються виробниками продуктів для виконання їхніх </w:t>
      </w:r>
      <w:r w:rsidR="00804189" w:rsidRPr="008429D0">
        <w:rPr>
          <w:rFonts w:ascii="Times New Roman" w:eastAsia="Times New Roman" w:hAnsi="Times New Roman"/>
          <w:sz w:val="28"/>
          <w:szCs w:val="28"/>
          <w:lang w:val="uk-UA" w:eastAsia="ru-RU"/>
        </w:rPr>
        <w:t>зобов’язань</w:t>
      </w:r>
      <w:r w:rsidRPr="008429D0">
        <w:rPr>
          <w:rFonts w:ascii="Times New Roman" w:eastAsia="Times New Roman" w:hAnsi="Times New Roman"/>
          <w:sz w:val="28"/>
          <w:szCs w:val="28"/>
          <w:lang w:val="uk-UA" w:eastAsia="ru-RU"/>
        </w:rPr>
        <w:t xml:space="preserve"> в рамках розширеної відповідальності виробника покривали витрати та відповідали вимогам, що передбачені </w:t>
      </w:r>
      <w:r w:rsidR="00804189" w:rsidRPr="008429D0">
        <w:rPr>
          <w:rFonts w:ascii="Times New Roman" w:eastAsia="Times New Roman" w:hAnsi="Times New Roman"/>
          <w:sz w:val="28"/>
          <w:szCs w:val="28"/>
          <w:lang w:val="uk-UA" w:eastAsia="ru-RU"/>
        </w:rPr>
        <w:t>пунктам</w:t>
      </w:r>
      <w:r w:rsidRPr="008429D0">
        <w:rPr>
          <w:rFonts w:ascii="Times New Roman" w:eastAsia="Times New Roman" w:hAnsi="Times New Roman"/>
          <w:sz w:val="28"/>
          <w:szCs w:val="28"/>
          <w:lang w:val="uk-UA" w:eastAsia="ru-RU"/>
        </w:rPr>
        <w:t xml:space="preserve"> (а) </w:t>
      </w:r>
      <w:r w:rsidR="008429D0">
        <w:rPr>
          <w:rFonts w:ascii="Times New Roman" w:eastAsia="Times New Roman" w:hAnsi="Times New Roman"/>
          <w:sz w:val="28"/>
          <w:szCs w:val="28"/>
          <w:lang w:val="uk-UA" w:eastAsia="ru-RU"/>
        </w:rPr>
        <w:t>–</w:t>
      </w:r>
      <w:r w:rsidRPr="008429D0">
        <w:rPr>
          <w:rFonts w:ascii="Times New Roman" w:eastAsia="Times New Roman" w:hAnsi="Times New Roman"/>
          <w:sz w:val="28"/>
          <w:szCs w:val="28"/>
          <w:lang w:val="uk-UA" w:eastAsia="ru-RU"/>
        </w:rPr>
        <w:t xml:space="preserve"> (</w:t>
      </w:r>
      <w:proofErr w:type="spellStart"/>
      <w:r w:rsidRPr="008429D0">
        <w:rPr>
          <w:rFonts w:ascii="Times New Roman" w:eastAsia="Times New Roman" w:hAnsi="Times New Roman"/>
          <w:sz w:val="28"/>
          <w:szCs w:val="28"/>
          <w:lang w:val="uk-UA" w:eastAsia="ru-RU"/>
        </w:rPr>
        <w:t>ііі</w:t>
      </w:r>
      <w:proofErr w:type="spellEnd"/>
      <w:r w:rsidRPr="008429D0">
        <w:rPr>
          <w:rFonts w:ascii="Times New Roman" w:eastAsia="Times New Roman" w:hAnsi="Times New Roman"/>
          <w:sz w:val="28"/>
          <w:szCs w:val="28"/>
          <w:lang w:val="uk-UA" w:eastAsia="ru-RU"/>
        </w:rPr>
        <w:t xml:space="preserve">) </w:t>
      </w:r>
      <w:r w:rsidR="00804189" w:rsidRPr="008429D0">
        <w:rPr>
          <w:rFonts w:ascii="Times New Roman" w:eastAsia="Times New Roman" w:hAnsi="Times New Roman"/>
          <w:sz w:val="28"/>
          <w:szCs w:val="28"/>
          <w:lang w:val="uk-UA" w:eastAsia="ru-RU"/>
        </w:rPr>
        <w:t>частини</w:t>
      </w:r>
      <w:r w:rsidRPr="008429D0">
        <w:rPr>
          <w:rFonts w:ascii="Times New Roman" w:eastAsia="Times New Roman" w:hAnsi="Times New Roman"/>
          <w:sz w:val="28"/>
          <w:szCs w:val="28"/>
          <w:lang w:val="uk-UA" w:eastAsia="ru-RU"/>
        </w:rPr>
        <w:t xml:space="preserve"> 4 статті 8а.</w:t>
      </w:r>
    </w:p>
    <w:p w:rsidR="008429D0" w:rsidRPr="008429D0" w:rsidRDefault="002E00E0" w:rsidP="002E00E0">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Держави-члени також вживають заходів для створення стимулів для власників відходів взяти на себе </w:t>
      </w:r>
      <w:r w:rsidR="008429D0" w:rsidRPr="008429D0">
        <w:rPr>
          <w:rFonts w:ascii="Times New Roman" w:eastAsia="Times New Roman" w:hAnsi="Times New Roman"/>
          <w:sz w:val="28"/>
          <w:szCs w:val="28"/>
          <w:lang w:val="uk-UA" w:eastAsia="ru-RU"/>
        </w:rPr>
        <w:t>зобов’язання</w:t>
      </w:r>
      <w:r w:rsidRPr="008429D0">
        <w:rPr>
          <w:rFonts w:ascii="Times New Roman" w:eastAsia="Times New Roman" w:hAnsi="Times New Roman"/>
          <w:sz w:val="28"/>
          <w:szCs w:val="28"/>
          <w:lang w:val="uk-UA" w:eastAsia="ru-RU"/>
        </w:rPr>
        <w:t xml:space="preserve"> доставляти відходи до існуючих систем роздільного збору, зокрема, через економічні стимули або правила.</w:t>
      </w:r>
    </w:p>
    <w:p w:rsidR="002E00E0" w:rsidRPr="008429D0" w:rsidRDefault="008429D0" w:rsidP="002E00E0">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Проте</w:t>
      </w:r>
      <w:r w:rsidR="002E00E0" w:rsidRPr="008429D0">
        <w:rPr>
          <w:rFonts w:ascii="Times New Roman" w:eastAsia="Times New Roman" w:hAnsi="Times New Roman"/>
          <w:sz w:val="28"/>
          <w:szCs w:val="28"/>
          <w:lang w:val="uk-UA" w:eastAsia="ru-RU"/>
        </w:rPr>
        <w:t>, передбачені згаданою вище статтею Директиви 2018/851/ЄС загальні мінімальні вимоги в проекті Закону не транспоновано.</w:t>
      </w:r>
    </w:p>
    <w:p w:rsidR="008429D0" w:rsidRPr="008429D0" w:rsidRDefault="008429D0" w:rsidP="008429D0">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Також необхідно зазначити, у статті 7 проекту Закону пропонується класифікувати відходи відповідно до Національний перелік відходів, визначивши у ньому три групи відходів: «1) небезпечні; 2) такі, що не є небезпечними; 3) такі, що потребують оцінки». Такий підхід не узгоджується з положеннями </w:t>
      </w:r>
      <w:r w:rsidRPr="008429D0">
        <w:rPr>
          <w:rFonts w:ascii="Times New Roman" w:eastAsia="Times New Roman" w:hAnsi="Times New Roman"/>
          <w:i/>
          <w:sz w:val="28"/>
          <w:szCs w:val="28"/>
          <w:lang w:val="uk-UA" w:eastAsia="ru-RU"/>
        </w:rPr>
        <w:t>статті 7  Директиви 2008/98/ЄС</w:t>
      </w:r>
      <w:r w:rsidRPr="008429D0">
        <w:rPr>
          <w:rFonts w:ascii="Times New Roman" w:eastAsia="Times New Roman" w:hAnsi="Times New Roman"/>
          <w:sz w:val="28"/>
          <w:szCs w:val="28"/>
          <w:lang w:val="uk-UA" w:eastAsia="ru-RU"/>
        </w:rPr>
        <w:t>, оскільки в ній передбачена лише класифікація відходів на: небезпечні відходи та відходи, що не є небезпечними.</w:t>
      </w:r>
    </w:p>
    <w:p w:rsidR="008429D0" w:rsidRPr="008429D0" w:rsidRDefault="008429D0" w:rsidP="008429D0">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Крім того, передбачена у частині 2 статті 7 законопроекту можливість, що володілець відходів може визнати такі відходи небезпечними без проведення досліджень, може призвести до необґрунтованого чи штучного збільшення кількості задекларованих небезпечних відходів.</w:t>
      </w:r>
    </w:p>
    <w:p w:rsidR="008429D0" w:rsidRPr="008429D0" w:rsidRDefault="008429D0" w:rsidP="008429D0">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Водночас </w:t>
      </w:r>
      <w:r w:rsidRPr="008429D0">
        <w:rPr>
          <w:rFonts w:ascii="Times New Roman" w:eastAsia="Times New Roman" w:hAnsi="Times New Roman"/>
          <w:i/>
          <w:sz w:val="28"/>
          <w:szCs w:val="28"/>
          <w:lang w:val="uk-UA" w:eastAsia="ru-RU"/>
        </w:rPr>
        <w:t>частини 2</w:t>
      </w:r>
      <w:r w:rsidRPr="008429D0">
        <w:rPr>
          <w:rFonts w:ascii="Times New Roman" w:eastAsia="Times New Roman" w:hAnsi="Times New Roman"/>
          <w:sz w:val="28"/>
          <w:szCs w:val="28"/>
          <w:lang w:val="uk-UA" w:eastAsia="ru-RU"/>
        </w:rPr>
        <w:t xml:space="preserve"> та </w:t>
      </w:r>
      <w:r w:rsidRPr="008429D0">
        <w:rPr>
          <w:rFonts w:ascii="Times New Roman" w:eastAsia="Times New Roman" w:hAnsi="Times New Roman"/>
          <w:i/>
          <w:sz w:val="28"/>
          <w:szCs w:val="28"/>
          <w:lang w:val="uk-UA" w:eastAsia="ru-RU"/>
        </w:rPr>
        <w:t>3 статті 7 Директиви 2008/98/ЄС</w:t>
      </w:r>
      <w:r w:rsidRPr="008429D0">
        <w:rPr>
          <w:rFonts w:ascii="Times New Roman" w:eastAsia="Times New Roman" w:hAnsi="Times New Roman"/>
          <w:sz w:val="28"/>
          <w:szCs w:val="28"/>
          <w:lang w:val="uk-UA" w:eastAsia="ru-RU"/>
        </w:rPr>
        <w:t xml:space="preserve"> дають обумовлену </w:t>
      </w:r>
      <w:proofErr w:type="spellStart"/>
      <w:r w:rsidRPr="008429D0">
        <w:rPr>
          <w:rFonts w:ascii="Times New Roman" w:eastAsia="Times New Roman" w:hAnsi="Times New Roman"/>
          <w:sz w:val="28"/>
          <w:szCs w:val="28"/>
          <w:lang w:val="uk-UA" w:eastAsia="ru-RU"/>
        </w:rPr>
        <w:t>дискрецію</w:t>
      </w:r>
      <w:proofErr w:type="spellEnd"/>
      <w:r w:rsidRPr="008429D0">
        <w:rPr>
          <w:rFonts w:ascii="Times New Roman" w:eastAsia="Times New Roman" w:hAnsi="Times New Roman"/>
          <w:sz w:val="28"/>
          <w:szCs w:val="28"/>
          <w:lang w:val="uk-UA" w:eastAsia="ru-RU"/>
        </w:rPr>
        <w:t xml:space="preserve"> державам-членам визначати певні відходи як небезпечні у випадку, коли вони мають одну чи більше властивостей, наведених у додатку ІІІ до Директиви </w:t>
      </w:r>
      <w:r w:rsidRPr="008429D0">
        <w:rPr>
          <w:rFonts w:ascii="Times New Roman" w:eastAsia="Times New Roman" w:hAnsi="Times New Roman"/>
          <w:sz w:val="28"/>
          <w:szCs w:val="28"/>
          <w:lang w:val="uk-UA" w:eastAsia="ru-RU"/>
        </w:rPr>
        <w:lastRenderedPageBreak/>
        <w:t>2008/98/ЄС, або як такі, що не є небезпечними, якщо вони не мають жодних властивостей, перерахованих у додатку ІІІ до Директиви 2008/98/ЄС.</w:t>
      </w:r>
    </w:p>
    <w:p w:rsidR="008429D0" w:rsidRPr="008429D0" w:rsidRDefault="008429D0" w:rsidP="008429D0">
      <w:pPr>
        <w:pStyle w:val="1"/>
        <w:tabs>
          <w:tab w:val="left" w:pos="851"/>
        </w:tabs>
        <w:spacing w:before="120" w:after="60" w:line="240" w:lineRule="auto"/>
        <w:ind w:left="0" w:firstLine="567"/>
        <w:jc w:val="both"/>
        <w:rPr>
          <w:rFonts w:ascii="Times New Roman" w:eastAsia="Times New Roman" w:hAnsi="Times New Roman"/>
          <w:iCs/>
          <w:sz w:val="28"/>
          <w:szCs w:val="28"/>
          <w:lang w:val="uk-UA" w:eastAsia="ru-RU"/>
        </w:rPr>
      </w:pPr>
      <w:r w:rsidRPr="008429D0">
        <w:rPr>
          <w:rFonts w:ascii="Times New Roman" w:eastAsia="Times New Roman" w:hAnsi="Times New Roman"/>
          <w:sz w:val="28"/>
          <w:szCs w:val="28"/>
          <w:lang w:val="uk-UA" w:eastAsia="ru-RU"/>
        </w:rPr>
        <w:t>Перелік відходів відповідно до Директиви 2008/98/ЄС</w:t>
      </w:r>
      <w:r w:rsidRPr="008429D0">
        <w:rPr>
          <w:i/>
          <w:lang w:val="uk-UA"/>
        </w:rPr>
        <w:t xml:space="preserve"> </w:t>
      </w:r>
      <w:r w:rsidRPr="008429D0">
        <w:rPr>
          <w:rFonts w:ascii="Times New Roman" w:eastAsia="Times New Roman" w:hAnsi="Times New Roman"/>
          <w:sz w:val="28"/>
          <w:szCs w:val="28"/>
          <w:lang w:val="uk-UA" w:eastAsia="ru-RU"/>
        </w:rPr>
        <w:t xml:space="preserve">затверджено </w:t>
      </w:r>
      <w:r w:rsidRPr="008429D0">
        <w:rPr>
          <w:rFonts w:ascii="Times New Roman" w:eastAsia="Times New Roman" w:hAnsi="Times New Roman"/>
          <w:i/>
          <w:sz w:val="28"/>
          <w:szCs w:val="28"/>
          <w:lang w:val="uk-UA" w:eastAsia="ru-RU"/>
        </w:rPr>
        <w:t>Рішеннями Комісії 2000/532/ЄС</w:t>
      </w:r>
      <w:r w:rsidRPr="008429D0">
        <w:rPr>
          <w:rFonts w:ascii="Times New Roman" w:eastAsia="Times New Roman" w:hAnsi="Times New Roman"/>
          <w:sz w:val="28"/>
          <w:szCs w:val="28"/>
          <w:lang w:val="uk-UA" w:eastAsia="ru-RU"/>
        </w:rPr>
        <w:t xml:space="preserve"> та </w:t>
      </w:r>
      <w:r w:rsidRPr="008429D0">
        <w:rPr>
          <w:rFonts w:ascii="Times New Roman" w:eastAsia="Times New Roman" w:hAnsi="Times New Roman"/>
          <w:i/>
          <w:sz w:val="28"/>
          <w:szCs w:val="28"/>
          <w:lang w:val="uk-UA" w:eastAsia="ru-RU"/>
        </w:rPr>
        <w:t>2014/955/ЄС</w:t>
      </w:r>
      <w:r w:rsidRPr="008429D0">
        <w:rPr>
          <w:rFonts w:ascii="Times New Roman" w:eastAsia="Times New Roman" w:hAnsi="Times New Roman"/>
          <w:sz w:val="28"/>
          <w:szCs w:val="28"/>
          <w:lang w:val="uk-UA" w:eastAsia="ru-RU"/>
        </w:rPr>
        <w:t xml:space="preserve">. Так, </w:t>
      </w:r>
      <w:r w:rsidRPr="008429D0">
        <w:rPr>
          <w:rFonts w:ascii="Times New Roman" w:eastAsia="Times New Roman" w:hAnsi="Times New Roman"/>
          <w:i/>
          <w:sz w:val="28"/>
          <w:szCs w:val="28"/>
          <w:lang w:val="uk-UA" w:eastAsia="ru-RU"/>
        </w:rPr>
        <w:t>Рішення Комісії 2014/955/ЄС</w:t>
      </w:r>
      <w:r w:rsidRPr="008429D0">
        <w:rPr>
          <w:rFonts w:ascii="Times New Roman" w:eastAsia="Times New Roman" w:hAnsi="Times New Roman"/>
          <w:sz w:val="28"/>
          <w:szCs w:val="28"/>
          <w:lang w:val="uk-UA" w:eastAsia="ru-RU"/>
        </w:rPr>
        <w:t xml:space="preserve"> містить положення щодо оцінки та класифікації відходів, зокрема, встановлюються правила, що застосовуються до відходів, яким можуть бути присвоєні коди як небезпечних так і таких, що не є небезпечними. З огляду на це, </w:t>
      </w:r>
      <w:r w:rsidRPr="008429D0">
        <w:rPr>
          <w:rFonts w:ascii="Times New Roman" w:eastAsia="Times New Roman" w:hAnsi="Times New Roman"/>
          <w:iCs/>
          <w:sz w:val="28"/>
          <w:szCs w:val="28"/>
          <w:lang w:val="uk-UA" w:eastAsia="ru-RU"/>
        </w:rPr>
        <w:t>доцільно також доповнити</w:t>
      </w:r>
      <w:r w:rsidRPr="008429D0">
        <w:rPr>
          <w:rFonts w:ascii="Times New Roman" w:eastAsia="Times New Roman" w:hAnsi="Times New Roman"/>
          <w:sz w:val="28"/>
          <w:szCs w:val="28"/>
          <w:lang w:val="uk-UA" w:eastAsia="ru-RU"/>
        </w:rPr>
        <w:t xml:space="preserve"> відповідні положення статті 7 законопроекту з метою визначення, що Національний перелік відходів і Порядок класифікації відходів мають містити </w:t>
      </w:r>
      <w:r w:rsidRPr="008429D0">
        <w:rPr>
          <w:rFonts w:ascii="Times New Roman" w:eastAsia="Times New Roman" w:hAnsi="Times New Roman"/>
          <w:iCs/>
          <w:sz w:val="28"/>
          <w:szCs w:val="28"/>
          <w:lang w:val="uk-UA" w:eastAsia="ru-RU"/>
        </w:rPr>
        <w:t>правила присвоєння кодів відходів як небезпечних так і таких, що не є небезпечними.</w:t>
      </w:r>
    </w:p>
    <w:p w:rsidR="00136B28" w:rsidRPr="008429D0" w:rsidRDefault="00EE36D8" w:rsidP="00136B28">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EE36D8">
        <w:rPr>
          <w:rFonts w:ascii="Times New Roman" w:eastAsia="Times New Roman" w:hAnsi="Times New Roman"/>
          <w:sz w:val="28"/>
          <w:szCs w:val="28"/>
          <w:lang w:val="uk-UA" w:eastAsia="ru-RU"/>
        </w:rPr>
        <w:t>Проект Закону не повною мірою врахову</w:t>
      </w:r>
      <w:r>
        <w:rPr>
          <w:rFonts w:ascii="Times New Roman" w:eastAsia="Times New Roman" w:hAnsi="Times New Roman"/>
          <w:sz w:val="28"/>
          <w:szCs w:val="28"/>
          <w:lang w:val="uk-UA" w:eastAsia="ru-RU"/>
        </w:rPr>
        <w:t xml:space="preserve">є </w:t>
      </w:r>
      <w:r w:rsidR="00136B28" w:rsidRPr="008429D0">
        <w:rPr>
          <w:rFonts w:ascii="Times New Roman" w:eastAsia="Times New Roman" w:hAnsi="Times New Roman"/>
          <w:sz w:val="28"/>
          <w:szCs w:val="28"/>
          <w:lang w:val="uk-UA" w:eastAsia="ru-RU"/>
        </w:rPr>
        <w:t xml:space="preserve">положень </w:t>
      </w:r>
      <w:r w:rsidR="00136B28" w:rsidRPr="008429D0">
        <w:rPr>
          <w:rFonts w:ascii="Times New Roman" w:eastAsia="Times New Roman" w:hAnsi="Times New Roman"/>
          <w:i/>
          <w:sz w:val="28"/>
          <w:szCs w:val="28"/>
          <w:lang w:val="uk-UA" w:eastAsia="ru-RU"/>
        </w:rPr>
        <w:t>статті 13 Директиви 2008/98/ЄС</w:t>
      </w:r>
      <w:r w:rsidR="00136B28" w:rsidRPr="008429D0">
        <w:rPr>
          <w:rFonts w:ascii="Times New Roman" w:eastAsia="Times New Roman" w:hAnsi="Times New Roman"/>
          <w:sz w:val="28"/>
          <w:szCs w:val="28"/>
          <w:lang w:val="uk-UA" w:eastAsia="ru-RU"/>
        </w:rPr>
        <w:t>, яка конкретизує загальну вимогу принципу захисту здоров’я людей та довкілля</w:t>
      </w:r>
      <w:r>
        <w:rPr>
          <w:rFonts w:ascii="Times New Roman" w:eastAsia="Times New Roman" w:hAnsi="Times New Roman"/>
          <w:sz w:val="28"/>
          <w:szCs w:val="28"/>
          <w:lang w:val="uk-UA" w:eastAsia="ru-RU"/>
        </w:rPr>
        <w:t>. У цьому зв’язку необхідно зазначити,</w:t>
      </w:r>
      <w:r w:rsidR="00136B28" w:rsidRPr="008429D0">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що </w:t>
      </w:r>
      <w:r w:rsidR="00136B28" w:rsidRPr="008429D0">
        <w:rPr>
          <w:rFonts w:ascii="Times New Roman" w:eastAsia="Times New Roman" w:hAnsi="Times New Roman"/>
          <w:sz w:val="28"/>
          <w:szCs w:val="28"/>
          <w:lang w:val="uk-UA" w:eastAsia="ru-RU"/>
        </w:rPr>
        <w:t>окремі положення законопроекту</w:t>
      </w:r>
      <w:r>
        <w:rPr>
          <w:rFonts w:ascii="Times New Roman" w:eastAsia="Times New Roman" w:hAnsi="Times New Roman"/>
          <w:sz w:val="28"/>
          <w:szCs w:val="28"/>
          <w:lang w:val="uk-UA" w:eastAsia="ru-RU"/>
        </w:rPr>
        <w:t xml:space="preserve"> </w:t>
      </w:r>
      <w:r w:rsidR="00136B28" w:rsidRPr="008429D0">
        <w:rPr>
          <w:rFonts w:ascii="Times New Roman" w:eastAsia="Times New Roman" w:hAnsi="Times New Roman"/>
          <w:sz w:val="28"/>
          <w:szCs w:val="28"/>
          <w:lang w:val="uk-UA" w:eastAsia="ru-RU"/>
        </w:rPr>
        <w:t>слід доповнити</w:t>
      </w:r>
      <w:r>
        <w:rPr>
          <w:rStyle w:val="a8"/>
          <w:rFonts w:ascii="Times New Roman" w:eastAsia="Times New Roman" w:hAnsi="Times New Roman"/>
          <w:sz w:val="28"/>
          <w:szCs w:val="28"/>
          <w:lang w:val="uk-UA" w:eastAsia="ru-RU"/>
        </w:rPr>
        <w:footnoteReference w:id="1"/>
      </w:r>
      <w:r w:rsidR="00136B28" w:rsidRPr="008429D0">
        <w:rPr>
          <w:rFonts w:ascii="Times New Roman" w:eastAsia="Times New Roman" w:hAnsi="Times New Roman"/>
          <w:sz w:val="28"/>
          <w:szCs w:val="28"/>
          <w:lang w:val="uk-UA" w:eastAsia="ru-RU"/>
        </w:rPr>
        <w:t xml:space="preserve"> вимогою щодо здійснення заходів у сфері управління відходами без загрози здоров’ю людей, без шкоди довкіллю та без:</w:t>
      </w:r>
    </w:p>
    <w:p w:rsidR="00136B28" w:rsidRPr="008429D0" w:rsidRDefault="00136B28" w:rsidP="00136B28">
      <w:pPr>
        <w:pStyle w:val="1"/>
        <w:numPr>
          <w:ilvl w:val="0"/>
          <w:numId w:val="3"/>
        </w:numPr>
        <w:tabs>
          <w:tab w:val="left" w:pos="993"/>
        </w:tabs>
        <w:spacing w:before="120" w:after="60" w:line="240" w:lineRule="auto"/>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ризику для води, повітря, ґрунтів, рослин та тварин;</w:t>
      </w:r>
    </w:p>
    <w:p w:rsidR="00136B28" w:rsidRPr="008429D0" w:rsidRDefault="00136B28" w:rsidP="00136B28">
      <w:pPr>
        <w:pStyle w:val="1"/>
        <w:numPr>
          <w:ilvl w:val="0"/>
          <w:numId w:val="3"/>
        </w:numPr>
        <w:tabs>
          <w:tab w:val="left" w:pos="993"/>
        </w:tabs>
        <w:spacing w:before="120" w:after="60" w:line="240" w:lineRule="auto"/>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спричинення незручностей через шум і запах; </w:t>
      </w:r>
    </w:p>
    <w:p w:rsidR="00136B28" w:rsidRPr="008429D0" w:rsidRDefault="00136B28" w:rsidP="00136B28">
      <w:pPr>
        <w:pStyle w:val="1"/>
        <w:numPr>
          <w:ilvl w:val="0"/>
          <w:numId w:val="3"/>
        </w:numPr>
        <w:tabs>
          <w:tab w:val="left" w:pos="993"/>
        </w:tabs>
        <w:spacing w:before="120" w:after="60" w:line="240" w:lineRule="auto"/>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негативного впливу на сільську місцевість або місця, що мають особливе значення.</w:t>
      </w:r>
    </w:p>
    <w:p w:rsidR="00136B28" w:rsidRPr="008429D0" w:rsidRDefault="00D81822" w:rsidP="00136B28">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iCs/>
          <w:sz w:val="28"/>
          <w:szCs w:val="28"/>
          <w:lang w:val="uk-UA" w:eastAsia="ru-RU"/>
        </w:rPr>
        <w:t>П</w:t>
      </w:r>
      <w:r w:rsidR="00136B28" w:rsidRPr="008429D0">
        <w:rPr>
          <w:rFonts w:ascii="Times New Roman" w:eastAsia="Times New Roman" w:hAnsi="Times New Roman"/>
          <w:sz w:val="28"/>
          <w:szCs w:val="28"/>
          <w:lang w:val="uk-UA" w:eastAsia="ru-RU"/>
        </w:rPr>
        <w:t>оложеннями проекту Закону передбачається запровадити надання дозволу на здійснення операцій управління відходами та ліцензування господарської діяльності із здійснення комплексу операцій управління небезпечними відходами.</w:t>
      </w:r>
    </w:p>
    <w:p w:rsidR="00136B28" w:rsidRPr="008429D0" w:rsidRDefault="00136B28" w:rsidP="00136B28">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Відповідно до </w:t>
      </w:r>
      <w:r w:rsidRPr="008429D0">
        <w:rPr>
          <w:rFonts w:ascii="Times New Roman" w:eastAsia="Times New Roman" w:hAnsi="Times New Roman"/>
          <w:i/>
          <w:sz w:val="28"/>
          <w:szCs w:val="28"/>
          <w:lang w:val="uk-UA" w:eastAsia="ru-RU"/>
        </w:rPr>
        <w:t>статті 23 Директиви 2008/98/ЄС</w:t>
      </w:r>
      <w:r w:rsidRPr="008429D0">
        <w:rPr>
          <w:rFonts w:ascii="Times New Roman" w:eastAsia="Times New Roman" w:hAnsi="Times New Roman"/>
          <w:sz w:val="28"/>
          <w:szCs w:val="28"/>
          <w:lang w:val="uk-UA" w:eastAsia="ru-RU"/>
        </w:rPr>
        <w:t xml:space="preserve"> держави-члени повинні вимагати від будь-якого підприємства чи установи, які займаються обробкою відходів, отримання дозволу компетентного органу.</w:t>
      </w:r>
    </w:p>
    <w:p w:rsidR="00136B28" w:rsidRPr="008429D0" w:rsidRDefault="00136B28" w:rsidP="00136B28">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Згідно із </w:t>
      </w:r>
      <w:r w:rsidRPr="008429D0">
        <w:rPr>
          <w:rFonts w:ascii="Times New Roman" w:eastAsia="Times New Roman" w:hAnsi="Times New Roman"/>
          <w:i/>
          <w:sz w:val="28"/>
          <w:szCs w:val="28"/>
          <w:lang w:val="uk-UA" w:eastAsia="ru-RU"/>
        </w:rPr>
        <w:t>статтею 3 Директиви 2008/98/ЄС</w:t>
      </w:r>
      <w:r w:rsidRPr="008429D0">
        <w:rPr>
          <w:rFonts w:ascii="Times New Roman" w:eastAsia="Times New Roman" w:hAnsi="Times New Roman"/>
          <w:sz w:val="28"/>
          <w:szCs w:val="28"/>
          <w:lang w:val="uk-UA" w:eastAsia="ru-RU"/>
        </w:rPr>
        <w:t xml:space="preserve"> під обробкою відходів розуміються операції з відновлення та видалення, включаючи попередню підготовку до них.</w:t>
      </w:r>
    </w:p>
    <w:p w:rsidR="00136B28" w:rsidRPr="008429D0" w:rsidRDefault="00136B28" w:rsidP="00136B28">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Відповідно до </w:t>
      </w:r>
      <w:r w:rsidRPr="008429D0">
        <w:rPr>
          <w:rFonts w:ascii="Times New Roman" w:eastAsia="Times New Roman" w:hAnsi="Times New Roman"/>
          <w:i/>
          <w:sz w:val="28"/>
          <w:szCs w:val="28"/>
          <w:lang w:val="uk-UA" w:eastAsia="ru-RU"/>
        </w:rPr>
        <w:t>статті 24 Директиви 2008/98/ЄС</w:t>
      </w:r>
      <w:r w:rsidRPr="008429D0">
        <w:rPr>
          <w:rFonts w:ascii="Times New Roman" w:eastAsia="Times New Roman" w:hAnsi="Times New Roman"/>
          <w:sz w:val="28"/>
          <w:szCs w:val="28"/>
          <w:lang w:val="uk-UA" w:eastAsia="ru-RU"/>
        </w:rPr>
        <w:t xml:space="preserve"> держави-члени можуть звільнити від зобов’язання щодо отримання дозволу установи або підприємства у разі виконання ними таких операцій, як: видалення утворених ними відходів, що не є небезпечними, на місці їх утворення; відновлення відходів. У випадку такого звільнення держави-члени мають встановити, в залежності від виду діяльності, загальні правила, що визначають види і кількість відходів, що можуть бути охоплені виключенням, і метод їх оброблення.</w:t>
      </w:r>
    </w:p>
    <w:p w:rsidR="00136B28" w:rsidRPr="008429D0" w:rsidRDefault="00136B28" w:rsidP="00136B28">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8429D0">
        <w:rPr>
          <w:rFonts w:ascii="Times New Roman" w:eastAsia="Times New Roman" w:hAnsi="Times New Roman"/>
          <w:sz w:val="28"/>
          <w:szCs w:val="28"/>
          <w:lang w:val="uk-UA" w:eastAsia="ru-RU"/>
        </w:rPr>
        <w:t xml:space="preserve">Якщо на нижчезазначених агентів не поширюються вимоги на отримання дозволу, держави-члени повинні забезпечити ведення їх реєстру повноважними органами: (а) установи або підприємства, які збирають або </w:t>
      </w:r>
      <w:proofErr w:type="spellStart"/>
      <w:r w:rsidRPr="008429D0">
        <w:rPr>
          <w:rFonts w:ascii="Times New Roman" w:eastAsia="Times New Roman" w:hAnsi="Times New Roman"/>
          <w:sz w:val="28"/>
          <w:szCs w:val="28"/>
          <w:lang w:val="uk-UA" w:eastAsia="ru-RU"/>
        </w:rPr>
        <w:t>перевозять</w:t>
      </w:r>
      <w:proofErr w:type="spellEnd"/>
      <w:r w:rsidRPr="008429D0">
        <w:rPr>
          <w:rFonts w:ascii="Times New Roman" w:eastAsia="Times New Roman" w:hAnsi="Times New Roman"/>
          <w:sz w:val="28"/>
          <w:szCs w:val="28"/>
          <w:lang w:val="uk-UA" w:eastAsia="ru-RU"/>
        </w:rPr>
        <w:t xml:space="preserve"> відходи на професійній основі; (b) дилери або брокери; та (с) установи або підприємства, на які поширюються виключення з вимог на отримання дозволу відповідно до статті 24 Директиви 2008/98/ЄС.</w:t>
      </w:r>
    </w:p>
    <w:p w:rsidR="006F440F" w:rsidRDefault="00136B28" w:rsidP="006F440F">
      <w:pPr>
        <w:pStyle w:val="1"/>
        <w:tabs>
          <w:tab w:val="left" w:pos="851"/>
        </w:tabs>
        <w:spacing w:before="120" w:after="60" w:line="240" w:lineRule="auto"/>
        <w:ind w:left="0" w:firstLine="567"/>
        <w:jc w:val="both"/>
        <w:rPr>
          <w:rFonts w:ascii="Times New Roman" w:eastAsia="Times New Roman" w:hAnsi="Times New Roman"/>
          <w:color w:val="000000" w:themeColor="text1"/>
          <w:sz w:val="28"/>
          <w:szCs w:val="28"/>
          <w:lang w:val="uk-UA" w:eastAsia="ru-RU"/>
        </w:rPr>
      </w:pPr>
      <w:r w:rsidRPr="008429D0">
        <w:rPr>
          <w:rFonts w:ascii="Times New Roman" w:eastAsia="Times New Roman" w:hAnsi="Times New Roman"/>
          <w:sz w:val="28"/>
          <w:szCs w:val="28"/>
          <w:lang w:val="uk-UA" w:eastAsia="ru-RU"/>
        </w:rPr>
        <w:t xml:space="preserve">Водночас, зазначені вище положення </w:t>
      </w:r>
      <w:r w:rsidRPr="008429D0">
        <w:rPr>
          <w:rFonts w:ascii="Times New Roman" w:eastAsia="Times New Roman" w:hAnsi="Times New Roman"/>
          <w:i/>
          <w:sz w:val="28"/>
          <w:szCs w:val="28"/>
          <w:lang w:val="uk-UA" w:eastAsia="ru-RU"/>
        </w:rPr>
        <w:t>Директиви 2008/98/ЄС</w:t>
      </w:r>
      <w:r w:rsidRPr="008429D0">
        <w:rPr>
          <w:rFonts w:ascii="Times New Roman" w:eastAsia="Times New Roman" w:hAnsi="Times New Roman"/>
          <w:sz w:val="28"/>
          <w:szCs w:val="28"/>
          <w:lang w:val="uk-UA" w:eastAsia="ru-RU"/>
        </w:rPr>
        <w:t xml:space="preserve"> у проекті Закону не </w:t>
      </w:r>
      <w:proofErr w:type="spellStart"/>
      <w:r w:rsidRPr="008429D0">
        <w:rPr>
          <w:rFonts w:ascii="Times New Roman" w:eastAsia="Times New Roman" w:hAnsi="Times New Roman"/>
          <w:color w:val="000000" w:themeColor="text1"/>
          <w:sz w:val="28"/>
          <w:szCs w:val="28"/>
          <w:lang w:val="uk-UA" w:eastAsia="ru-RU"/>
        </w:rPr>
        <w:t>імплементовано</w:t>
      </w:r>
      <w:proofErr w:type="spellEnd"/>
      <w:r w:rsidRPr="008429D0">
        <w:rPr>
          <w:rFonts w:ascii="Times New Roman" w:eastAsia="Times New Roman" w:hAnsi="Times New Roman"/>
          <w:color w:val="000000" w:themeColor="text1"/>
          <w:sz w:val="28"/>
          <w:szCs w:val="28"/>
          <w:lang w:val="uk-UA" w:eastAsia="ru-RU"/>
        </w:rPr>
        <w:t>.</w:t>
      </w:r>
      <w:bookmarkStart w:id="0" w:name="bookmark2"/>
    </w:p>
    <w:p w:rsidR="006F440F" w:rsidRPr="006F440F" w:rsidRDefault="00D81822" w:rsidP="006F440F">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6F440F">
        <w:rPr>
          <w:rFonts w:ascii="Times New Roman" w:eastAsia="Times New Roman" w:hAnsi="Times New Roman"/>
          <w:sz w:val="28"/>
          <w:szCs w:val="28"/>
          <w:lang w:val="uk-UA" w:eastAsia="ru-RU"/>
        </w:rPr>
        <w:t xml:space="preserve">Щодо впровадження ліцензування операцій управління небезпечними відходами, то слід зауважити, що </w:t>
      </w:r>
      <w:r w:rsidRPr="006F440F">
        <w:rPr>
          <w:rFonts w:ascii="Times New Roman" w:eastAsia="Times New Roman" w:hAnsi="Times New Roman"/>
          <w:i/>
          <w:sz w:val="28"/>
          <w:szCs w:val="28"/>
          <w:lang w:val="uk-UA" w:eastAsia="ru-RU"/>
        </w:rPr>
        <w:t>Директива 2008/98/ЄС</w:t>
      </w:r>
      <w:r w:rsidRPr="006F440F">
        <w:rPr>
          <w:rFonts w:ascii="Times New Roman" w:eastAsia="Times New Roman" w:hAnsi="Times New Roman"/>
          <w:sz w:val="28"/>
          <w:szCs w:val="28"/>
          <w:lang w:val="uk-UA" w:eastAsia="ru-RU"/>
        </w:rPr>
        <w:t xml:space="preserve"> не передбачає надання окремого дозволу/ліцензії на операції у сфері управління небезпечними відходами.</w:t>
      </w:r>
    </w:p>
    <w:p w:rsidR="006F440F" w:rsidRPr="006F440F" w:rsidRDefault="00D81822" w:rsidP="006F440F">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6F440F">
        <w:rPr>
          <w:rFonts w:ascii="Times New Roman" w:eastAsia="Times New Roman" w:hAnsi="Times New Roman"/>
          <w:sz w:val="28"/>
          <w:szCs w:val="28"/>
          <w:lang w:val="uk-UA" w:eastAsia="ru-RU"/>
        </w:rPr>
        <w:lastRenderedPageBreak/>
        <w:t>Водночас, досвід країн-членів ЄС, зокрема, Естонії свідчить про те, що поряд із дозволом на операції з управління відходами (глава 1 «Дозволи у сфері відходів» розділу VI Закону Естонської Республіки «Про відходи») існує процедура ліцензування на здійснення управління небезпечними відходами (глава 7 «Ліцензії у сфері управління небезпечними відходами» розділу VI Закону Естонської Республіки «Про відходи»).</w:t>
      </w:r>
    </w:p>
    <w:p w:rsidR="006F440F" w:rsidRDefault="00D81822" w:rsidP="006F440F">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6F440F">
        <w:rPr>
          <w:rFonts w:ascii="Times New Roman" w:eastAsia="Times New Roman" w:hAnsi="Times New Roman"/>
          <w:sz w:val="28"/>
          <w:szCs w:val="28"/>
          <w:lang w:val="uk-UA" w:eastAsia="ru-RU"/>
        </w:rPr>
        <w:t xml:space="preserve">Проект Закону потребує також доопрацювання з метою доповнення його відповідними положеннями, передбаченими у </w:t>
      </w:r>
      <w:r w:rsidRPr="006F440F">
        <w:rPr>
          <w:rFonts w:ascii="Times New Roman" w:eastAsia="Times New Roman" w:hAnsi="Times New Roman"/>
          <w:i/>
          <w:sz w:val="28"/>
          <w:szCs w:val="28"/>
          <w:lang w:val="uk-UA" w:eastAsia="ru-RU"/>
        </w:rPr>
        <w:t>статтях</w:t>
      </w:r>
      <w:r w:rsidR="006F440F">
        <w:rPr>
          <w:rFonts w:ascii="Times New Roman" w:eastAsia="Times New Roman" w:hAnsi="Times New Roman"/>
          <w:i/>
          <w:sz w:val="28"/>
          <w:szCs w:val="28"/>
          <w:lang w:val="uk-UA" w:eastAsia="ru-RU"/>
        </w:rPr>
        <w:t xml:space="preserve"> </w:t>
      </w:r>
      <w:r w:rsidRPr="006F440F">
        <w:rPr>
          <w:rFonts w:ascii="Times New Roman" w:eastAsia="Times New Roman" w:hAnsi="Times New Roman"/>
          <w:i/>
          <w:sz w:val="28"/>
          <w:szCs w:val="28"/>
          <w:lang w:val="uk-UA" w:eastAsia="ru-RU"/>
        </w:rPr>
        <w:t>28, 34 Директиви 2008/98/ЄС</w:t>
      </w:r>
      <w:r w:rsidRPr="006F440F">
        <w:rPr>
          <w:rFonts w:ascii="Times New Roman" w:eastAsia="Times New Roman" w:hAnsi="Times New Roman"/>
          <w:sz w:val="28"/>
          <w:szCs w:val="28"/>
          <w:lang w:val="uk-UA" w:eastAsia="ru-RU"/>
        </w:rPr>
        <w:t>.</w:t>
      </w:r>
    </w:p>
    <w:p w:rsidR="006F440F" w:rsidRPr="006F440F" w:rsidRDefault="006F440F" w:rsidP="006F440F">
      <w:pPr>
        <w:pStyle w:val="120"/>
        <w:shd w:val="clear" w:color="auto" w:fill="auto"/>
        <w:spacing w:line="240" w:lineRule="auto"/>
        <w:ind w:left="567" w:firstLine="567"/>
        <w:jc w:val="both"/>
        <w:rPr>
          <w:sz w:val="24"/>
          <w:szCs w:val="24"/>
        </w:rPr>
      </w:pPr>
      <w:r w:rsidRPr="006F440F">
        <w:rPr>
          <w:b/>
          <w:sz w:val="24"/>
          <w:szCs w:val="24"/>
        </w:rPr>
        <w:t>Довідково:</w:t>
      </w:r>
      <w:r w:rsidRPr="006F440F">
        <w:rPr>
          <w:sz w:val="24"/>
          <w:szCs w:val="24"/>
        </w:rPr>
        <w:t xml:space="preserve"> при доопрацюванні законопроекту потребує уваги позиція Міністерства енергетики та захисту довкілля, яке вказує на відсутність в Україні необхідних умов для реалізації процедур «припинення статусу відходів» та віднесення відходів до категорії «побічні продукти».</w:t>
      </w:r>
    </w:p>
    <w:p w:rsidR="006F440F" w:rsidRPr="006F440F" w:rsidRDefault="006F440F" w:rsidP="006F440F">
      <w:pPr>
        <w:pStyle w:val="120"/>
        <w:shd w:val="clear" w:color="auto" w:fill="auto"/>
        <w:spacing w:line="240" w:lineRule="auto"/>
        <w:ind w:left="567" w:firstLine="567"/>
        <w:jc w:val="both"/>
        <w:rPr>
          <w:sz w:val="24"/>
          <w:szCs w:val="24"/>
        </w:rPr>
      </w:pPr>
      <w:r w:rsidRPr="006F440F">
        <w:rPr>
          <w:sz w:val="24"/>
          <w:szCs w:val="24"/>
        </w:rPr>
        <w:t>На думку Міністерства, це пов’язано з тим, що практичне впровадження в Україні категорії «побічні продукти» може викликати масову зміну статусу існуючих накопичень багатотоннажних промислових відходів (</w:t>
      </w:r>
      <w:proofErr w:type="spellStart"/>
      <w:r w:rsidRPr="006F440F">
        <w:rPr>
          <w:sz w:val="24"/>
          <w:szCs w:val="24"/>
        </w:rPr>
        <w:t>шламонакопичувачі</w:t>
      </w:r>
      <w:proofErr w:type="spellEnd"/>
      <w:r w:rsidRPr="006F440F">
        <w:rPr>
          <w:sz w:val="24"/>
          <w:szCs w:val="24"/>
        </w:rPr>
        <w:t xml:space="preserve">, </w:t>
      </w:r>
      <w:proofErr w:type="spellStart"/>
      <w:r w:rsidRPr="006F440F">
        <w:rPr>
          <w:sz w:val="24"/>
          <w:szCs w:val="24"/>
        </w:rPr>
        <w:t>золошлаковідвали</w:t>
      </w:r>
      <w:proofErr w:type="spellEnd"/>
      <w:r w:rsidRPr="006F440F">
        <w:rPr>
          <w:sz w:val="24"/>
          <w:szCs w:val="24"/>
        </w:rPr>
        <w:t xml:space="preserve"> відходів металургійного, хімічного, нафтохімічного комплексу та енергогенеруючих </w:t>
      </w:r>
      <w:proofErr w:type="spellStart"/>
      <w:r w:rsidRPr="006F440F">
        <w:rPr>
          <w:sz w:val="24"/>
          <w:szCs w:val="24"/>
        </w:rPr>
        <w:t>потужностей</w:t>
      </w:r>
      <w:proofErr w:type="spellEnd"/>
      <w:r w:rsidRPr="006F440F">
        <w:rPr>
          <w:sz w:val="24"/>
          <w:szCs w:val="24"/>
        </w:rPr>
        <w:t xml:space="preserve"> тощо) на статус «потенційної сировини» («побічних продуктів»). Віднесення відходів до категорії «побічних продуктів» можливе лише у випадку, якщо сформовано сталий гарантований попит на певний вид відходів, при цьому такі відходи мають використовуватися у повному обсязі в масштабах країни. При цьому, зміни кон’юнктури ринку можуть спричиняти коливання попиту на «побічні продукти», що вимагатиме оперативного реагування держави на регулювання відносин у системі «відходи – побічні продукти». Міністерство зазначає, що положення законопроекту не дозволяють реалізувати зазначений механізм, зокрема через невизначеність суб’єкта прийняття рішення про віднесення чи виключення відходів до/з категорії «побічних продуктів».</w:t>
      </w:r>
    </w:p>
    <w:p w:rsidR="006F440F" w:rsidRPr="006F440F" w:rsidRDefault="006F440F" w:rsidP="006F440F">
      <w:pPr>
        <w:pStyle w:val="1"/>
        <w:tabs>
          <w:tab w:val="left" w:pos="851"/>
        </w:tabs>
        <w:spacing w:after="0" w:line="240" w:lineRule="auto"/>
        <w:ind w:left="567" w:firstLine="567"/>
        <w:jc w:val="both"/>
        <w:rPr>
          <w:rFonts w:ascii="Times New Roman" w:eastAsia="Times New Roman" w:hAnsi="Times New Roman"/>
          <w:sz w:val="24"/>
          <w:szCs w:val="24"/>
          <w:lang w:val="uk-UA" w:eastAsia="ru-RU"/>
        </w:rPr>
      </w:pPr>
      <w:r w:rsidRPr="006F440F">
        <w:rPr>
          <w:rFonts w:ascii="Times New Roman" w:hAnsi="Times New Roman"/>
          <w:sz w:val="24"/>
          <w:szCs w:val="24"/>
          <w:lang w:val="uk-UA"/>
        </w:rPr>
        <w:t xml:space="preserve">Стосовно процедури «припинення статусу відходів» Міністерство енергетики та захисту довкілля зазначає, що враховуючи, що в ЄС законодавчо встановлені цільові показники збирання, відновлення, у тому числі </w:t>
      </w:r>
      <w:proofErr w:type="spellStart"/>
      <w:r w:rsidRPr="006F440F">
        <w:rPr>
          <w:rFonts w:ascii="Times New Roman" w:hAnsi="Times New Roman"/>
          <w:sz w:val="24"/>
          <w:szCs w:val="24"/>
          <w:lang w:val="uk-UA"/>
        </w:rPr>
        <w:t>рециклінгу</w:t>
      </w:r>
      <w:proofErr w:type="spellEnd"/>
      <w:r w:rsidRPr="006F440F">
        <w:rPr>
          <w:rFonts w:ascii="Times New Roman" w:hAnsi="Times New Roman"/>
          <w:sz w:val="24"/>
          <w:szCs w:val="24"/>
          <w:lang w:val="uk-UA"/>
        </w:rPr>
        <w:t xml:space="preserve">, підготовки для повторного використання для низки матеріалів, що входять до складу відходів, то процедура «припинення статусу відходів» в країнах-членах ЄС в першу чергу пов’язана зі специфікою проведення розрахунку досягнення вказаних цільових показників. </w:t>
      </w:r>
      <w:r w:rsidRPr="006F440F">
        <w:rPr>
          <w:rFonts w:ascii="Times New Roman" w:hAnsi="Times New Roman"/>
          <w:sz w:val="24"/>
          <w:szCs w:val="24"/>
        </w:rPr>
        <w:t xml:space="preserve">При </w:t>
      </w:r>
      <w:proofErr w:type="spellStart"/>
      <w:r w:rsidRPr="006F440F">
        <w:rPr>
          <w:rFonts w:ascii="Times New Roman" w:hAnsi="Times New Roman"/>
          <w:sz w:val="24"/>
          <w:szCs w:val="24"/>
        </w:rPr>
        <w:t>цьому</w:t>
      </w:r>
      <w:proofErr w:type="spellEnd"/>
      <w:r w:rsidRPr="006F440F">
        <w:rPr>
          <w:rFonts w:ascii="Times New Roman" w:hAnsi="Times New Roman"/>
          <w:sz w:val="24"/>
          <w:szCs w:val="24"/>
        </w:rPr>
        <w:t xml:space="preserve"> результатом </w:t>
      </w:r>
      <w:proofErr w:type="spellStart"/>
      <w:r w:rsidRPr="006F440F">
        <w:rPr>
          <w:rFonts w:ascii="Times New Roman" w:hAnsi="Times New Roman"/>
          <w:sz w:val="24"/>
          <w:szCs w:val="24"/>
        </w:rPr>
        <w:t>процедури</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припинення</w:t>
      </w:r>
      <w:proofErr w:type="spellEnd"/>
      <w:r w:rsidRPr="006F440F">
        <w:rPr>
          <w:rFonts w:ascii="Times New Roman" w:hAnsi="Times New Roman"/>
          <w:sz w:val="24"/>
          <w:szCs w:val="24"/>
        </w:rPr>
        <w:t xml:space="preserve"> статусу </w:t>
      </w:r>
      <w:proofErr w:type="spellStart"/>
      <w:r w:rsidRPr="006F440F">
        <w:rPr>
          <w:rFonts w:ascii="Times New Roman" w:hAnsi="Times New Roman"/>
          <w:sz w:val="24"/>
          <w:szCs w:val="24"/>
        </w:rPr>
        <w:t>відходів</w:t>
      </w:r>
      <w:proofErr w:type="spellEnd"/>
      <w:r w:rsidRPr="006F440F">
        <w:rPr>
          <w:rFonts w:ascii="Times New Roman" w:hAnsi="Times New Roman"/>
          <w:sz w:val="24"/>
          <w:szCs w:val="24"/>
        </w:rPr>
        <w:t xml:space="preserve">» є не </w:t>
      </w:r>
      <w:proofErr w:type="spellStart"/>
      <w:r w:rsidRPr="006F440F">
        <w:rPr>
          <w:rFonts w:ascii="Times New Roman" w:hAnsi="Times New Roman"/>
          <w:sz w:val="24"/>
          <w:szCs w:val="24"/>
        </w:rPr>
        <w:t>надання</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відходам</w:t>
      </w:r>
      <w:proofErr w:type="spellEnd"/>
      <w:r w:rsidRPr="006F440F">
        <w:rPr>
          <w:rFonts w:ascii="Times New Roman" w:hAnsi="Times New Roman"/>
          <w:sz w:val="24"/>
          <w:szCs w:val="24"/>
        </w:rPr>
        <w:t xml:space="preserve"> статусу «не-</w:t>
      </w:r>
      <w:proofErr w:type="spellStart"/>
      <w:r w:rsidRPr="006F440F">
        <w:rPr>
          <w:rFonts w:ascii="Times New Roman" w:hAnsi="Times New Roman"/>
          <w:sz w:val="24"/>
          <w:szCs w:val="24"/>
        </w:rPr>
        <w:t>відходів</w:t>
      </w:r>
      <w:proofErr w:type="spellEnd"/>
      <w:r w:rsidRPr="006F440F">
        <w:rPr>
          <w:rFonts w:ascii="Times New Roman" w:hAnsi="Times New Roman"/>
          <w:sz w:val="24"/>
          <w:szCs w:val="24"/>
        </w:rPr>
        <w:t xml:space="preserve">», а </w:t>
      </w:r>
      <w:proofErr w:type="spellStart"/>
      <w:r w:rsidRPr="006F440F">
        <w:rPr>
          <w:rFonts w:ascii="Times New Roman" w:hAnsi="Times New Roman"/>
          <w:sz w:val="24"/>
          <w:szCs w:val="24"/>
        </w:rPr>
        <w:t>встановлення</w:t>
      </w:r>
      <w:proofErr w:type="spellEnd"/>
      <w:r w:rsidRPr="006F440F">
        <w:rPr>
          <w:rFonts w:ascii="Times New Roman" w:hAnsi="Times New Roman"/>
          <w:sz w:val="24"/>
          <w:szCs w:val="24"/>
        </w:rPr>
        <w:t xml:space="preserve"> факту та </w:t>
      </w:r>
      <w:proofErr w:type="spellStart"/>
      <w:r w:rsidRPr="006F440F">
        <w:rPr>
          <w:rFonts w:ascii="Times New Roman" w:hAnsi="Times New Roman"/>
          <w:sz w:val="24"/>
          <w:szCs w:val="24"/>
        </w:rPr>
        <w:t>обсягів</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їх</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збирання</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відновлення</w:t>
      </w:r>
      <w:proofErr w:type="spellEnd"/>
      <w:r w:rsidRPr="006F440F">
        <w:rPr>
          <w:rFonts w:ascii="Times New Roman" w:hAnsi="Times New Roman"/>
          <w:sz w:val="24"/>
          <w:szCs w:val="24"/>
        </w:rPr>
        <w:t xml:space="preserve">, у тому </w:t>
      </w:r>
      <w:proofErr w:type="spellStart"/>
      <w:r w:rsidRPr="006F440F">
        <w:rPr>
          <w:rFonts w:ascii="Times New Roman" w:hAnsi="Times New Roman"/>
          <w:sz w:val="24"/>
          <w:szCs w:val="24"/>
        </w:rPr>
        <w:t>числі</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рециклінгу</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підготовки</w:t>
      </w:r>
      <w:proofErr w:type="spellEnd"/>
      <w:r w:rsidRPr="006F440F">
        <w:rPr>
          <w:rFonts w:ascii="Times New Roman" w:hAnsi="Times New Roman"/>
          <w:sz w:val="24"/>
          <w:szCs w:val="24"/>
        </w:rPr>
        <w:t xml:space="preserve"> для повторного </w:t>
      </w:r>
      <w:proofErr w:type="spellStart"/>
      <w:r w:rsidRPr="006F440F">
        <w:rPr>
          <w:rFonts w:ascii="Times New Roman" w:hAnsi="Times New Roman"/>
          <w:sz w:val="24"/>
          <w:szCs w:val="24"/>
        </w:rPr>
        <w:t>використання</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Також</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Міністерство</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зауважує</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що</w:t>
      </w:r>
      <w:proofErr w:type="spellEnd"/>
      <w:r w:rsidRPr="006F440F">
        <w:rPr>
          <w:rFonts w:ascii="Times New Roman" w:hAnsi="Times New Roman"/>
          <w:sz w:val="24"/>
          <w:szCs w:val="24"/>
        </w:rPr>
        <w:t xml:space="preserve"> в ЄС </w:t>
      </w:r>
      <w:proofErr w:type="spellStart"/>
      <w:r w:rsidRPr="006F440F">
        <w:rPr>
          <w:rFonts w:ascii="Times New Roman" w:hAnsi="Times New Roman"/>
          <w:sz w:val="24"/>
          <w:szCs w:val="24"/>
        </w:rPr>
        <w:t>існує</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певна</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невирішеність</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питань</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пов’язаних</w:t>
      </w:r>
      <w:proofErr w:type="spellEnd"/>
      <w:r w:rsidRPr="006F440F">
        <w:rPr>
          <w:rFonts w:ascii="Times New Roman" w:hAnsi="Times New Roman"/>
          <w:sz w:val="24"/>
          <w:szCs w:val="24"/>
        </w:rPr>
        <w:t xml:space="preserve"> з </w:t>
      </w:r>
      <w:proofErr w:type="spellStart"/>
      <w:r w:rsidRPr="006F440F">
        <w:rPr>
          <w:rFonts w:ascii="Times New Roman" w:hAnsi="Times New Roman"/>
          <w:sz w:val="24"/>
          <w:szCs w:val="24"/>
        </w:rPr>
        <w:t>реалізацією</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процедури</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припинення</w:t>
      </w:r>
      <w:proofErr w:type="spellEnd"/>
      <w:r w:rsidRPr="006F440F">
        <w:rPr>
          <w:rFonts w:ascii="Times New Roman" w:hAnsi="Times New Roman"/>
          <w:sz w:val="24"/>
          <w:szCs w:val="24"/>
        </w:rPr>
        <w:t xml:space="preserve"> статусу </w:t>
      </w:r>
      <w:proofErr w:type="spellStart"/>
      <w:r w:rsidRPr="006F440F">
        <w:rPr>
          <w:rFonts w:ascii="Times New Roman" w:hAnsi="Times New Roman"/>
          <w:sz w:val="24"/>
          <w:szCs w:val="24"/>
        </w:rPr>
        <w:t>відходів</w:t>
      </w:r>
      <w:proofErr w:type="spellEnd"/>
      <w:r w:rsidRPr="006F440F">
        <w:rPr>
          <w:rFonts w:ascii="Times New Roman" w:hAnsi="Times New Roman"/>
          <w:sz w:val="24"/>
          <w:szCs w:val="24"/>
        </w:rPr>
        <w:t xml:space="preserve">», тому вона на </w:t>
      </w:r>
      <w:proofErr w:type="spellStart"/>
      <w:r w:rsidRPr="006F440F">
        <w:rPr>
          <w:rFonts w:ascii="Times New Roman" w:hAnsi="Times New Roman"/>
          <w:sz w:val="24"/>
          <w:szCs w:val="24"/>
        </w:rPr>
        <w:t>сьогодні</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застосовується</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лише</w:t>
      </w:r>
      <w:proofErr w:type="spellEnd"/>
      <w:r w:rsidRPr="006F440F">
        <w:rPr>
          <w:rFonts w:ascii="Times New Roman" w:hAnsi="Times New Roman"/>
          <w:sz w:val="24"/>
          <w:szCs w:val="24"/>
        </w:rPr>
        <w:t xml:space="preserve"> для 4-х </w:t>
      </w:r>
      <w:proofErr w:type="spellStart"/>
      <w:r w:rsidRPr="006F440F">
        <w:rPr>
          <w:rFonts w:ascii="Times New Roman" w:hAnsi="Times New Roman"/>
          <w:sz w:val="24"/>
          <w:szCs w:val="24"/>
        </w:rPr>
        <w:t>видів</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металобрухту</w:t>
      </w:r>
      <w:proofErr w:type="spellEnd"/>
      <w:r w:rsidRPr="006F440F">
        <w:rPr>
          <w:rFonts w:ascii="Times New Roman" w:hAnsi="Times New Roman"/>
          <w:sz w:val="24"/>
          <w:szCs w:val="24"/>
        </w:rPr>
        <w:t xml:space="preserve"> та </w:t>
      </w:r>
      <w:proofErr w:type="spellStart"/>
      <w:r w:rsidRPr="006F440F">
        <w:rPr>
          <w:rFonts w:ascii="Times New Roman" w:hAnsi="Times New Roman"/>
          <w:sz w:val="24"/>
          <w:szCs w:val="24"/>
        </w:rPr>
        <w:t>склобою</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Міністерство</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вважає</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що</w:t>
      </w:r>
      <w:proofErr w:type="spellEnd"/>
      <w:r w:rsidRPr="006F440F">
        <w:rPr>
          <w:rFonts w:ascii="Times New Roman" w:hAnsi="Times New Roman"/>
          <w:sz w:val="24"/>
          <w:szCs w:val="24"/>
        </w:rPr>
        <w:t xml:space="preserve"> в </w:t>
      </w:r>
      <w:proofErr w:type="spellStart"/>
      <w:r w:rsidRPr="006F440F">
        <w:rPr>
          <w:rFonts w:ascii="Times New Roman" w:hAnsi="Times New Roman"/>
          <w:sz w:val="24"/>
          <w:szCs w:val="24"/>
        </w:rPr>
        <w:t>Україні</w:t>
      </w:r>
      <w:proofErr w:type="spellEnd"/>
      <w:r w:rsidRPr="006F440F">
        <w:rPr>
          <w:rFonts w:ascii="Times New Roman" w:hAnsi="Times New Roman"/>
          <w:sz w:val="24"/>
          <w:szCs w:val="24"/>
        </w:rPr>
        <w:t xml:space="preserve"> на </w:t>
      </w:r>
      <w:proofErr w:type="spellStart"/>
      <w:r w:rsidRPr="006F440F">
        <w:rPr>
          <w:rFonts w:ascii="Times New Roman" w:hAnsi="Times New Roman"/>
          <w:sz w:val="24"/>
          <w:szCs w:val="24"/>
        </w:rPr>
        <w:t>сьогодні</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це</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питання</w:t>
      </w:r>
      <w:proofErr w:type="spellEnd"/>
      <w:r w:rsidRPr="006F440F">
        <w:rPr>
          <w:rFonts w:ascii="Times New Roman" w:hAnsi="Times New Roman"/>
          <w:sz w:val="24"/>
          <w:szCs w:val="24"/>
        </w:rPr>
        <w:t xml:space="preserve"> є </w:t>
      </w:r>
      <w:proofErr w:type="spellStart"/>
      <w:r w:rsidRPr="006F440F">
        <w:rPr>
          <w:rFonts w:ascii="Times New Roman" w:hAnsi="Times New Roman"/>
          <w:sz w:val="24"/>
          <w:szCs w:val="24"/>
        </w:rPr>
        <w:t>фактично</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вирішеним</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оскільки</w:t>
      </w:r>
      <w:proofErr w:type="spellEnd"/>
      <w:r w:rsidRPr="006F440F">
        <w:rPr>
          <w:rFonts w:ascii="Times New Roman" w:hAnsi="Times New Roman"/>
          <w:sz w:val="24"/>
          <w:szCs w:val="24"/>
        </w:rPr>
        <w:t xml:space="preserve"> </w:t>
      </w:r>
      <w:r w:rsidRPr="006F440F">
        <w:rPr>
          <w:rStyle w:val="214pt"/>
          <w:rFonts w:eastAsia="Calibri"/>
          <w:sz w:val="24"/>
          <w:szCs w:val="24"/>
        </w:rPr>
        <w:t xml:space="preserve">ст. 4 ЗУ «Про </w:t>
      </w:r>
      <w:proofErr w:type="spellStart"/>
      <w:r w:rsidRPr="006F440F">
        <w:rPr>
          <w:rFonts w:ascii="Times New Roman" w:hAnsi="Times New Roman"/>
          <w:sz w:val="24"/>
          <w:szCs w:val="24"/>
        </w:rPr>
        <w:t>металобрухт</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передбачено</w:t>
      </w:r>
      <w:proofErr w:type="spellEnd"/>
      <w:r w:rsidRPr="006F440F">
        <w:rPr>
          <w:rFonts w:ascii="Times New Roman" w:hAnsi="Times New Roman"/>
          <w:sz w:val="24"/>
          <w:szCs w:val="24"/>
        </w:rPr>
        <w:t xml:space="preserve">, </w:t>
      </w:r>
      <w:r w:rsidRPr="006F440F">
        <w:rPr>
          <w:rStyle w:val="214pt"/>
          <w:rFonts w:eastAsia="Calibri"/>
          <w:sz w:val="24"/>
          <w:szCs w:val="24"/>
        </w:rPr>
        <w:t xml:space="preserve">що </w:t>
      </w:r>
      <w:r w:rsidRPr="006F440F">
        <w:rPr>
          <w:rFonts w:ascii="Times New Roman" w:hAnsi="Times New Roman"/>
          <w:sz w:val="24"/>
          <w:szCs w:val="24"/>
        </w:rPr>
        <w:t xml:space="preserve">ЗУ «Про </w:t>
      </w:r>
      <w:proofErr w:type="spellStart"/>
      <w:r w:rsidRPr="006F440F">
        <w:rPr>
          <w:rFonts w:ascii="Times New Roman" w:hAnsi="Times New Roman"/>
          <w:sz w:val="24"/>
          <w:szCs w:val="24"/>
        </w:rPr>
        <w:t>відходи</w:t>
      </w:r>
      <w:proofErr w:type="spellEnd"/>
      <w:r w:rsidRPr="006F440F">
        <w:rPr>
          <w:rFonts w:ascii="Times New Roman" w:hAnsi="Times New Roman"/>
          <w:sz w:val="24"/>
          <w:szCs w:val="24"/>
        </w:rPr>
        <w:t xml:space="preserve">» не </w:t>
      </w:r>
      <w:proofErr w:type="spellStart"/>
      <w:r w:rsidRPr="006F440F">
        <w:rPr>
          <w:rFonts w:ascii="Times New Roman" w:hAnsi="Times New Roman"/>
          <w:sz w:val="24"/>
          <w:szCs w:val="24"/>
        </w:rPr>
        <w:t>поширюється</w:t>
      </w:r>
      <w:proofErr w:type="spellEnd"/>
      <w:r w:rsidRPr="006F440F">
        <w:rPr>
          <w:rFonts w:ascii="Times New Roman" w:hAnsi="Times New Roman"/>
          <w:sz w:val="24"/>
          <w:szCs w:val="24"/>
        </w:rPr>
        <w:t xml:space="preserve"> на </w:t>
      </w:r>
      <w:proofErr w:type="spellStart"/>
      <w:r w:rsidRPr="006F440F">
        <w:rPr>
          <w:rFonts w:ascii="Times New Roman" w:hAnsi="Times New Roman"/>
          <w:sz w:val="24"/>
          <w:szCs w:val="24"/>
        </w:rPr>
        <w:t>відносини</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що</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виникають</w:t>
      </w:r>
      <w:proofErr w:type="spellEnd"/>
      <w:r w:rsidRPr="006F440F">
        <w:rPr>
          <w:rFonts w:ascii="Times New Roman" w:hAnsi="Times New Roman"/>
          <w:sz w:val="24"/>
          <w:szCs w:val="24"/>
        </w:rPr>
        <w:t xml:space="preserve"> у </w:t>
      </w:r>
      <w:proofErr w:type="spellStart"/>
      <w:r w:rsidRPr="006F440F">
        <w:rPr>
          <w:rFonts w:ascii="Times New Roman" w:hAnsi="Times New Roman"/>
          <w:sz w:val="24"/>
          <w:szCs w:val="24"/>
        </w:rPr>
        <w:t>процесі</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здійснення</w:t>
      </w:r>
      <w:proofErr w:type="spellEnd"/>
      <w:r w:rsidRPr="006F440F">
        <w:rPr>
          <w:rFonts w:ascii="Times New Roman" w:hAnsi="Times New Roman"/>
          <w:sz w:val="24"/>
          <w:szCs w:val="24"/>
        </w:rPr>
        <w:t xml:space="preserve"> </w:t>
      </w:r>
      <w:proofErr w:type="spellStart"/>
      <w:r w:rsidRPr="006F440F">
        <w:rPr>
          <w:rFonts w:ascii="Times New Roman" w:hAnsi="Times New Roman"/>
          <w:sz w:val="24"/>
          <w:szCs w:val="24"/>
        </w:rPr>
        <w:t>операцій</w:t>
      </w:r>
      <w:proofErr w:type="spellEnd"/>
      <w:r w:rsidRPr="006F440F">
        <w:rPr>
          <w:rFonts w:ascii="Times New Roman" w:hAnsi="Times New Roman"/>
          <w:sz w:val="24"/>
          <w:szCs w:val="24"/>
        </w:rPr>
        <w:t xml:space="preserve"> з </w:t>
      </w:r>
      <w:proofErr w:type="spellStart"/>
      <w:r w:rsidRPr="006F440F">
        <w:rPr>
          <w:rFonts w:ascii="Times New Roman" w:hAnsi="Times New Roman"/>
          <w:sz w:val="24"/>
          <w:szCs w:val="24"/>
        </w:rPr>
        <w:t>металобрухтом</w:t>
      </w:r>
      <w:proofErr w:type="spellEnd"/>
      <w:r w:rsidRPr="006F440F">
        <w:rPr>
          <w:rFonts w:ascii="Times New Roman" w:hAnsi="Times New Roman"/>
          <w:sz w:val="24"/>
          <w:szCs w:val="24"/>
        </w:rPr>
        <w:t>.</w:t>
      </w:r>
    </w:p>
    <w:p w:rsidR="00136B28" w:rsidRPr="008429D0" w:rsidRDefault="00136B28" w:rsidP="00136B28">
      <w:pPr>
        <w:spacing w:before="240"/>
        <w:ind w:firstLine="567"/>
        <w:jc w:val="both"/>
        <w:rPr>
          <w:bCs/>
        </w:rPr>
      </w:pPr>
      <w:r w:rsidRPr="008429D0">
        <w:rPr>
          <w:rFonts w:eastAsia="Verdana"/>
          <w:b/>
          <w:bCs/>
        </w:rPr>
        <w:t>4.</w:t>
      </w:r>
      <w:r w:rsidRPr="008429D0">
        <w:rPr>
          <w:rFonts w:eastAsia="Verdana"/>
          <w:bCs/>
        </w:rPr>
        <w:t>   </w:t>
      </w:r>
      <w:r w:rsidRPr="008429D0">
        <w:rPr>
          <w:b/>
        </w:rPr>
        <w:t xml:space="preserve">Висновок Комітету з питань інтеграції України з Європейським Союзом. </w:t>
      </w:r>
    </w:p>
    <w:bookmarkEnd w:id="0"/>
    <w:p w:rsidR="004954B9" w:rsidRPr="008429D0" w:rsidRDefault="006F440F" w:rsidP="004954B9">
      <w:pPr>
        <w:spacing w:before="120"/>
        <w:ind w:firstLine="567"/>
        <w:jc w:val="both"/>
        <w:rPr>
          <w:rFonts w:eastAsia="MS Mincho"/>
          <w:sz w:val="20"/>
          <w:szCs w:val="20"/>
          <w:lang w:eastAsia="en-US"/>
        </w:rPr>
      </w:pPr>
      <w:r w:rsidRPr="00477112">
        <w:rPr>
          <w:color w:val="000000" w:themeColor="text1"/>
        </w:rPr>
        <w:t xml:space="preserve">Проект Закону в цілому </w:t>
      </w:r>
      <w:r w:rsidRPr="006F440F">
        <w:rPr>
          <w:color w:val="000000" w:themeColor="text1"/>
        </w:rPr>
        <w:t>не суперечить</w:t>
      </w:r>
      <w:r w:rsidRPr="00477112">
        <w:rPr>
          <w:b/>
          <w:color w:val="000000" w:themeColor="text1"/>
        </w:rPr>
        <w:t xml:space="preserve"> </w:t>
      </w:r>
      <w:r w:rsidRPr="00477112">
        <w:rPr>
          <w:color w:val="000000" w:themeColor="text1"/>
        </w:rPr>
        <w:t xml:space="preserve">зобов’язанням України відповідно до Угоди про асоціацію та праву Європейського Союзу. Водночас, потребує </w:t>
      </w:r>
      <w:r w:rsidR="00AA5594">
        <w:rPr>
          <w:color w:val="000000" w:themeColor="text1"/>
        </w:rPr>
        <w:t xml:space="preserve">суттєвого </w:t>
      </w:r>
      <w:r w:rsidRPr="00477112">
        <w:rPr>
          <w:color w:val="000000" w:themeColor="text1"/>
        </w:rPr>
        <w:t xml:space="preserve">доопрацювання з метою врахування зауважень, викладених у цьому висновку. </w:t>
      </w:r>
    </w:p>
    <w:p w:rsidR="004954B9" w:rsidRPr="008429D0" w:rsidRDefault="004954B9" w:rsidP="004954B9">
      <w:pPr>
        <w:spacing w:before="120"/>
        <w:ind w:firstLine="567"/>
        <w:jc w:val="both"/>
        <w:rPr>
          <w:rFonts w:eastAsia="MS Mincho"/>
          <w:sz w:val="20"/>
          <w:szCs w:val="20"/>
          <w:lang w:eastAsia="en-US"/>
        </w:rPr>
      </w:pPr>
      <w:bookmarkStart w:id="1" w:name="_GoBack"/>
      <w:bookmarkEnd w:id="1"/>
    </w:p>
    <w:sectPr w:rsidR="004954B9" w:rsidRPr="008429D0" w:rsidSect="006B1138">
      <w:footerReference w:type="default" r:id="rId8"/>
      <w:pgSz w:w="11906" w:h="16838"/>
      <w:pgMar w:top="709" w:right="707" w:bottom="850" w:left="1134" w:header="708" w:footer="356"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D62" w:rsidRDefault="002C7D62" w:rsidP="00911AA1">
      <w:r>
        <w:separator/>
      </w:r>
    </w:p>
  </w:endnote>
  <w:endnote w:type="continuationSeparator" w:id="0">
    <w:p w:rsidR="002C7D62" w:rsidRDefault="002C7D62" w:rsidP="00911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7177402"/>
      <w:docPartObj>
        <w:docPartGallery w:val="Page Numbers (Bottom of Page)"/>
        <w:docPartUnique/>
      </w:docPartObj>
    </w:sdtPr>
    <w:sdtEndPr>
      <w:rPr>
        <w:sz w:val="24"/>
        <w:szCs w:val="24"/>
      </w:rPr>
    </w:sdtEndPr>
    <w:sdtContent>
      <w:p w:rsidR="00F87EE7" w:rsidRPr="00E1148D" w:rsidRDefault="005D28D4">
        <w:pPr>
          <w:pStyle w:val="a3"/>
          <w:jc w:val="center"/>
          <w:rPr>
            <w:sz w:val="24"/>
            <w:szCs w:val="24"/>
          </w:rPr>
        </w:pPr>
        <w:r w:rsidRPr="00E1148D">
          <w:rPr>
            <w:sz w:val="24"/>
            <w:szCs w:val="24"/>
          </w:rPr>
          <w:fldChar w:fldCharType="begin"/>
        </w:r>
        <w:r w:rsidRPr="00E1148D">
          <w:rPr>
            <w:sz w:val="24"/>
            <w:szCs w:val="24"/>
          </w:rPr>
          <w:instrText>PAGE   \* MERGEFORMAT</w:instrText>
        </w:r>
        <w:r w:rsidRPr="00E1148D">
          <w:rPr>
            <w:sz w:val="24"/>
            <w:szCs w:val="24"/>
          </w:rPr>
          <w:fldChar w:fldCharType="separate"/>
        </w:r>
        <w:r w:rsidR="00AA5594">
          <w:rPr>
            <w:noProof/>
            <w:sz w:val="24"/>
            <w:szCs w:val="24"/>
          </w:rPr>
          <w:t>5</w:t>
        </w:r>
        <w:r w:rsidRPr="00E1148D">
          <w:rPr>
            <w:sz w:val="24"/>
            <w:szCs w:val="24"/>
          </w:rPr>
          <w:fldChar w:fldCharType="end"/>
        </w:r>
      </w:p>
    </w:sdtContent>
  </w:sdt>
  <w:p w:rsidR="00F87EE7" w:rsidRDefault="002C7D6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D62" w:rsidRDefault="002C7D62" w:rsidP="00911AA1">
      <w:r>
        <w:separator/>
      </w:r>
    </w:p>
  </w:footnote>
  <w:footnote w:type="continuationSeparator" w:id="0">
    <w:p w:rsidR="002C7D62" w:rsidRDefault="002C7D62" w:rsidP="00911AA1">
      <w:r>
        <w:continuationSeparator/>
      </w:r>
    </w:p>
  </w:footnote>
  <w:footnote w:id="1">
    <w:p w:rsidR="00EE36D8" w:rsidRPr="00EE36D8" w:rsidRDefault="00EE36D8" w:rsidP="00EE36D8">
      <w:pPr>
        <w:pStyle w:val="a9"/>
        <w:jc w:val="both"/>
        <w:rPr>
          <w:sz w:val="22"/>
          <w:szCs w:val="22"/>
        </w:rPr>
      </w:pPr>
      <w:r>
        <w:rPr>
          <w:rStyle w:val="a8"/>
        </w:rPr>
        <w:footnoteRef/>
      </w:r>
      <w:r>
        <w:t xml:space="preserve"> </w:t>
      </w:r>
      <w:r w:rsidRPr="00EE36D8">
        <w:rPr>
          <w:sz w:val="22"/>
          <w:szCs w:val="22"/>
        </w:rPr>
        <w:t>Наприклад, пункт 1 частини 1 статті 3, стаття 13 та Розділ ІІ законопроекту або ввести окрему статтю</w:t>
      </w:r>
      <w:r>
        <w:rPr>
          <w:sz w:val="22"/>
          <w:szCs w:val="22"/>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F46C2"/>
    <w:multiLevelType w:val="multilevel"/>
    <w:tmpl w:val="92CC0D8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957BAE"/>
    <w:multiLevelType w:val="hybridMultilevel"/>
    <w:tmpl w:val="0B5289D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15:restartNumberingAfterBreak="0">
    <w:nsid w:val="3C361AC9"/>
    <w:multiLevelType w:val="hybridMultilevel"/>
    <w:tmpl w:val="B060CF10"/>
    <w:lvl w:ilvl="0" w:tplc="0E94C88C">
      <w:start w:val="1"/>
      <w:numFmt w:val="bullet"/>
      <w:lvlText w:val=""/>
      <w:lvlJc w:val="left"/>
      <w:pPr>
        <w:ind w:left="927" w:hanging="360"/>
      </w:pPr>
      <w:rPr>
        <w:rFonts w:ascii="Symbol" w:hAnsi="Symbol"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54B55DC8"/>
    <w:multiLevelType w:val="hybridMultilevel"/>
    <w:tmpl w:val="1E1A4ACE"/>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15:restartNumberingAfterBreak="0">
    <w:nsid w:val="77FD70B6"/>
    <w:multiLevelType w:val="hybridMultilevel"/>
    <w:tmpl w:val="8828E1C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4B9"/>
    <w:rsid w:val="00046F08"/>
    <w:rsid w:val="00136B28"/>
    <w:rsid w:val="002C7D62"/>
    <w:rsid w:val="002E00E0"/>
    <w:rsid w:val="004954B9"/>
    <w:rsid w:val="005B50BC"/>
    <w:rsid w:val="005D28D4"/>
    <w:rsid w:val="005F335A"/>
    <w:rsid w:val="006B1138"/>
    <w:rsid w:val="006F440F"/>
    <w:rsid w:val="00804189"/>
    <w:rsid w:val="008429D0"/>
    <w:rsid w:val="00911AA1"/>
    <w:rsid w:val="00AA5594"/>
    <w:rsid w:val="00AB2AA9"/>
    <w:rsid w:val="00B6095F"/>
    <w:rsid w:val="00BB5DCA"/>
    <w:rsid w:val="00BE50E9"/>
    <w:rsid w:val="00CF1D55"/>
    <w:rsid w:val="00D81822"/>
    <w:rsid w:val="00DE050F"/>
    <w:rsid w:val="00EE36D8"/>
    <w:rsid w:val="00FC07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4DEA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54B9"/>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qFormat/>
    <w:rsid w:val="004954B9"/>
    <w:pPr>
      <w:spacing w:after="200" w:line="276" w:lineRule="auto"/>
      <w:ind w:left="720"/>
      <w:contextualSpacing/>
    </w:pPr>
    <w:rPr>
      <w:rFonts w:ascii="Calibri" w:eastAsia="Calibri" w:hAnsi="Calibri"/>
      <w:sz w:val="22"/>
      <w:szCs w:val="22"/>
      <w:lang w:val="ru-RU" w:eastAsia="en-US"/>
    </w:rPr>
  </w:style>
  <w:style w:type="paragraph" w:styleId="a3">
    <w:name w:val="footer"/>
    <w:basedOn w:val="a"/>
    <w:link w:val="a4"/>
    <w:rsid w:val="004954B9"/>
    <w:pPr>
      <w:tabs>
        <w:tab w:val="center" w:pos="4819"/>
        <w:tab w:val="right" w:pos="9639"/>
      </w:tabs>
    </w:pPr>
  </w:style>
  <w:style w:type="character" w:customStyle="1" w:styleId="a4">
    <w:name w:val="Нижній колонтитул Знак"/>
    <w:basedOn w:val="a0"/>
    <w:link w:val="a3"/>
    <w:rsid w:val="004954B9"/>
    <w:rPr>
      <w:rFonts w:ascii="Times New Roman" w:eastAsia="Times New Roman" w:hAnsi="Times New Roman" w:cs="Times New Roman"/>
      <w:sz w:val="28"/>
      <w:szCs w:val="28"/>
      <w:lang w:eastAsia="ru-RU"/>
    </w:rPr>
  </w:style>
  <w:style w:type="paragraph" w:styleId="a5">
    <w:name w:val="header"/>
    <w:basedOn w:val="a"/>
    <w:link w:val="a6"/>
    <w:uiPriority w:val="99"/>
    <w:unhideWhenUsed/>
    <w:rsid w:val="004954B9"/>
    <w:pPr>
      <w:tabs>
        <w:tab w:val="center" w:pos="4819"/>
        <w:tab w:val="right" w:pos="9639"/>
      </w:tabs>
    </w:pPr>
  </w:style>
  <w:style w:type="character" w:customStyle="1" w:styleId="a6">
    <w:name w:val="Верхній колонтитул Знак"/>
    <w:basedOn w:val="a0"/>
    <w:link w:val="a5"/>
    <w:uiPriority w:val="99"/>
    <w:rsid w:val="004954B9"/>
    <w:rPr>
      <w:rFonts w:ascii="Times New Roman" w:eastAsia="Times New Roman" w:hAnsi="Times New Roman" w:cs="Times New Roman"/>
      <w:sz w:val="28"/>
      <w:szCs w:val="28"/>
      <w:lang w:eastAsia="ru-RU"/>
    </w:rPr>
  </w:style>
  <w:style w:type="paragraph" w:customStyle="1" w:styleId="rvps2">
    <w:name w:val="rvps2"/>
    <w:basedOn w:val="a"/>
    <w:uiPriority w:val="99"/>
    <w:rsid w:val="004954B9"/>
    <w:pPr>
      <w:spacing w:before="100" w:beforeAutospacing="1" w:after="100" w:afterAutospacing="1"/>
    </w:pPr>
    <w:rPr>
      <w:sz w:val="24"/>
      <w:szCs w:val="24"/>
      <w:lang w:val="ru-RU"/>
    </w:rPr>
  </w:style>
  <w:style w:type="paragraph" w:styleId="a7">
    <w:name w:val="List Paragraph"/>
    <w:basedOn w:val="a"/>
    <w:uiPriority w:val="34"/>
    <w:qFormat/>
    <w:rsid w:val="004954B9"/>
    <w:pPr>
      <w:ind w:left="720"/>
      <w:contextualSpacing/>
    </w:pPr>
  </w:style>
  <w:style w:type="character" w:styleId="a8">
    <w:name w:val="footnote reference"/>
    <w:basedOn w:val="a0"/>
    <w:unhideWhenUsed/>
    <w:rsid w:val="00911AA1"/>
    <w:rPr>
      <w:vertAlign w:val="superscript"/>
    </w:rPr>
  </w:style>
  <w:style w:type="character" w:customStyle="1" w:styleId="2">
    <w:name w:val="Основной текст (2)_"/>
    <w:basedOn w:val="a0"/>
    <w:link w:val="20"/>
    <w:rsid w:val="00911AA1"/>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911AA1"/>
    <w:pPr>
      <w:widowControl w:val="0"/>
      <w:shd w:val="clear" w:color="auto" w:fill="FFFFFF"/>
      <w:spacing w:before="140" w:line="319" w:lineRule="exact"/>
      <w:jc w:val="both"/>
    </w:pPr>
    <w:rPr>
      <w:sz w:val="26"/>
      <w:szCs w:val="26"/>
      <w:lang w:eastAsia="en-US"/>
    </w:rPr>
  </w:style>
  <w:style w:type="character" w:customStyle="1" w:styleId="12">
    <w:name w:val="Основной текст (12)_"/>
    <w:basedOn w:val="a0"/>
    <w:link w:val="120"/>
    <w:rsid w:val="00911AA1"/>
    <w:rPr>
      <w:rFonts w:ascii="Times New Roman" w:eastAsia="Times New Roman" w:hAnsi="Times New Roman" w:cs="Times New Roman"/>
      <w:sz w:val="28"/>
      <w:szCs w:val="28"/>
      <w:shd w:val="clear" w:color="auto" w:fill="FFFFFF"/>
    </w:rPr>
  </w:style>
  <w:style w:type="paragraph" w:customStyle="1" w:styleId="120">
    <w:name w:val="Основной текст (12)"/>
    <w:basedOn w:val="a"/>
    <w:link w:val="12"/>
    <w:rsid w:val="00911AA1"/>
    <w:pPr>
      <w:widowControl w:val="0"/>
      <w:shd w:val="clear" w:color="auto" w:fill="FFFFFF"/>
      <w:spacing w:line="310" w:lineRule="exact"/>
      <w:jc w:val="right"/>
    </w:pPr>
    <w:rPr>
      <w:lang w:eastAsia="en-US"/>
    </w:rPr>
  </w:style>
  <w:style w:type="character" w:customStyle="1" w:styleId="214pt">
    <w:name w:val="Основной текст (2) + 14 pt"/>
    <w:basedOn w:val="2"/>
    <w:rsid w:val="00911AA1"/>
    <w:rPr>
      <w:rFonts w:ascii="Times New Roman" w:eastAsia="Times New Roman" w:hAnsi="Times New Roman" w:cs="Times New Roman"/>
      <w:color w:val="000000"/>
      <w:spacing w:val="0"/>
      <w:w w:val="100"/>
      <w:position w:val="0"/>
      <w:sz w:val="28"/>
      <w:szCs w:val="28"/>
      <w:shd w:val="clear" w:color="auto" w:fill="FFFFFF"/>
      <w:lang w:val="uk-UA" w:eastAsia="uk-UA" w:bidi="uk-UA"/>
    </w:rPr>
  </w:style>
  <w:style w:type="character" w:customStyle="1" w:styleId="2Exact">
    <w:name w:val="Основной текст (2) Exact"/>
    <w:basedOn w:val="a0"/>
    <w:rsid w:val="002E00E0"/>
    <w:rPr>
      <w:rFonts w:ascii="Times New Roman" w:eastAsia="Times New Roman" w:hAnsi="Times New Roman" w:cs="Times New Roman"/>
      <w:b w:val="0"/>
      <w:bCs w:val="0"/>
      <w:i w:val="0"/>
      <w:iCs w:val="0"/>
      <w:smallCaps w:val="0"/>
      <w:strike w:val="0"/>
      <w:sz w:val="26"/>
      <w:szCs w:val="26"/>
      <w:u w:val="none"/>
    </w:rPr>
  </w:style>
  <w:style w:type="paragraph" w:styleId="a9">
    <w:name w:val="footnote text"/>
    <w:basedOn w:val="a"/>
    <w:link w:val="aa"/>
    <w:uiPriority w:val="99"/>
    <w:semiHidden/>
    <w:unhideWhenUsed/>
    <w:rsid w:val="00EE36D8"/>
    <w:rPr>
      <w:sz w:val="20"/>
      <w:szCs w:val="20"/>
    </w:rPr>
  </w:style>
  <w:style w:type="character" w:customStyle="1" w:styleId="aa">
    <w:name w:val="Текст виноски Знак"/>
    <w:basedOn w:val="a0"/>
    <w:link w:val="a9"/>
    <w:uiPriority w:val="99"/>
    <w:semiHidden/>
    <w:rsid w:val="00EE36D8"/>
    <w:rPr>
      <w:rFonts w:ascii="Times New Roman" w:eastAsia="Times New Roman" w:hAnsi="Times New Roman" w:cs="Times New Roman"/>
      <w:sz w:val="20"/>
      <w:szCs w:val="20"/>
      <w:lang w:eastAsia="ru-RU"/>
    </w:rPr>
  </w:style>
  <w:style w:type="character" w:customStyle="1" w:styleId="3Exact">
    <w:name w:val="Заголовок №3 Exact"/>
    <w:basedOn w:val="a0"/>
    <w:rsid w:val="00D81822"/>
    <w:rPr>
      <w:rFonts w:ascii="Times New Roman" w:eastAsia="Times New Roman" w:hAnsi="Times New Roman" w:cs="Times New Roman"/>
      <w:b/>
      <w:bCs/>
      <w:i w:val="0"/>
      <w:iCs w:val="0"/>
      <w:smallCaps w:val="0"/>
      <w:strike w:val="0"/>
      <w:sz w:val="26"/>
      <w:szCs w:val="26"/>
      <w:u w:val="none"/>
    </w:rPr>
  </w:style>
  <w:style w:type="character" w:customStyle="1" w:styleId="3">
    <w:name w:val="Заголовок №3_"/>
    <w:basedOn w:val="a0"/>
    <w:link w:val="30"/>
    <w:rsid w:val="00D81822"/>
    <w:rPr>
      <w:rFonts w:ascii="Times New Roman" w:eastAsia="Times New Roman" w:hAnsi="Times New Roman" w:cs="Times New Roman"/>
      <w:b/>
      <w:bCs/>
      <w:sz w:val="26"/>
      <w:szCs w:val="26"/>
      <w:shd w:val="clear" w:color="auto" w:fill="FFFFFF"/>
    </w:rPr>
  </w:style>
  <w:style w:type="paragraph" w:customStyle="1" w:styleId="30">
    <w:name w:val="Заголовок №3"/>
    <w:basedOn w:val="a"/>
    <w:link w:val="3"/>
    <w:rsid w:val="00D81822"/>
    <w:pPr>
      <w:widowControl w:val="0"/>
      <w:shd w:val="clear" w:color="auto" w:fill="FFFFFF"/>
      <w:spacing w:before="360" w:after="140" w:line="288" w:lineRule="exact"/>
      <w:jc w:val="center"/>
      <w:outlineLvl w:val="2"/>
    </w:pPr>
    <w:rPr>
      <w:b/>
      <w:b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EF440-0088-4053-B84A-B20A54F3F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11803</Words>
  <Characters>6728</Characters>
  <Application>Microsoft Office Word</Application>
  <DocSecurity>0</DocSecurity>
  <Lines>56</Lines>
  <Paragraphs>36</Paragraphs>
  <ScaleCrop>false</ScaleCrop>
  <Company/>
  <LinksUpToDate>false</LinksUpToDate>
  <CharactersWithSpaces>18495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2020-02-06T07:41:00Z</dcterms:created>
  <dcterms:modified xsi:type="dcterms:W3CDTF">2020-02-06T07:46:00Z</dcterms:modified>
</cp:coreProperties>
</file>