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655" w:rsidRPr="00D43BA0" w:rsidRDefault="00DA3655" w:rsidP="00DA3655">
      <w:pPr>
        <w:spacing w:after="0" w:line="240" w:lineRule="auto"/>
        <w:ind w:firstLine="709"/>
        <w:jc w:val="right"/>
        <w:rPr>
          <w:rFonts w:ascii="Times New Roman" w:eastAsia="Times New Roman" w:hAnsi="Times New Roman"/>
          <w:color w:val="000000" w:themeColor="text1"/>
          <w:lang w:eastAsia="ru-RU"/>
        </w:rPr>
      </w:pPr>
    </w:p>
    <w:p w:rsidR="00DA3655" w:rsidRPr="00D43BA0" w:rsidRDefault="00DA3655" w:rsidP="00DA3655">
      <w:pPr>
        <w:spacing w:after="0" w:line="240" w:lineRule="auto"/>
        <w:ind w:firstLine="709"/>
        <w:jc w:val="right"/>
        <w:rPr>
          <w:rFonts w:ascii="Times New Roman" w:eastAsia="Times New Roman" w:hAnsi="Times New Roman"/>
          <w:color w:val="000000" w:themeColor="text1"/>
          <w:sz w:val="24"/>
          <w:szCs w:val="24"/>
          <w:lang w:eastAsia="ru-RU"/>
        </w:rPr>
      </w:pPr>
      <w:r w:rsidRPr="00D43BA0">
        <w:rPr>
          <w:rFonts w:ascii="Times New Roman" w:eastAsia="Times New Roman" w:hAnsi="Times New Roman"/>
          <w:color w:val="000000" w:themeColor="text1"/>
          <w:sz w:val="24"/>
          <w:szCs w:val="24"/>
          <w:lang w:eastAsia="ru-RU"/>
        </w:rPr>
        <w:t>До № 2329 від 29.10.2019</w:t>
      </w:r>
    </w:p>
    <w:p w:rsidR="00DA3655" w:rsidRPr="00D43BA0" w:rsidRDefault="00DA3655" w:rsidP="00DA3655">
      <w:pPr>
        <w:spacing w:after="0" w:line="240" w:lineRule="auto"/>
        <w:ind w:left="6371" w:firstLine="709"/>
        <w:rPr>
          <w:rFonts w:ascii="Times New Roman" w:eastAsia="Times New Roman" w:hAnsi="Times New Roman"/>
          <w:color w:val="000000" w:themeColor="text1"/>
          <w:sz w:val="24"/>
          <w:szCs w:val="24"/>
          <w:lang w:eastAsia="ru-RU"/>
        </w:rPr>
      </w:pPr>
      <w:r w:rsidRPr="00D43BA0">
        <w:rPr>
          <w:rFonts w:ascii="Times New Roman" w:eastAsia="Times New Roman" w:hAnsi="Times New Roman"/>
          <w:color w:val="000000" w:themeColor="text1"/>
          <w:sz w:val="24"/>
          <w:szCs w:val="24"/>
          <w:lang w:eastAsia="ru-RU"/>
        </w:rPr>
        <w:t xml:space="preserve">       (друге читання)</w:t>
      </w:r>
    </w:p>
    <w:p w:rsidR="00DA3655" w:rsidRPr="00D43BA0" w:rsidRDefault="00DA3655" w:rsidP="00DA3655">
      <w:pPr>
        <w:spacing w:after="0" w:line="240" w:lineRule="auto"/>
        <w:jc w:val="center"/>
        <w:rPr>
          <w:rFonts w:ascii="Times New Roman" w:eastAsia="Times New Roman" w:hAnsi="Times New Roman"/>
          <w:b/>
          <w:color w:val="000000" w:themeColor="text1"/>
          <w:sz w:val="28"/>
          <w:szCs w:val="28"/>
          <w:lang w:eastAsia="ru-RU"/>
        </w:rPr>
      </w:pPr>
    </w:p>
    <w:p w:rsidR="00DA3655" w:rsidRPr="00D43BA0" w:rsidRDefault="00DA3655" w:rsidP="00DA3655">
      <w:pPr>
        <w:spacing w:after="0" w:line="240" w:lineRule="auto"/>
        <w:jc w:val="center"/>
        <w:rPr>
          <w:rFonts w:ascii="Times New Roman" w:eastAsia="Times New Roman" w:hAnsi="Times New Roman"/>
          <w:b/>
          <w:color w:val="000000" w:themeColor="text1"/>
          <w:sz w:val="28"/>
          <w:szCs w:val="28"/>
          <w:lang w:eastAsia="ru-RU"/>
        </w:rPr>
      </w:pPr>
    </w:p>
    <w:p w:rsidR="00DA3655" w:rsidRPr="00D43BA0" w:rsidRDefault="00DA3655" w:rsidP="00DA3655">
      <w:pPr>
        <w:spacing w:after="0" w:line="240" w:lineRule="auto"/>
        <w:jc w:val="center"/>
        <w:rPr>
          <w:rFonts w:ascii="Times New Roman" w:eastAsia="Times New Roman" w:hAnsi="Times New Roman"/>
          <w:b/>
          <w:color w:val="000000" w:themeColor="text1"/>
          <w:sz w:val="28"/>
          <w:szCs w:val="28"/>
          <w:lang w:eastAsia="ru-RU"/>
        </w:rPr>
      </w:pPr>
      <w:r w:rsidRPr="00D43BA0">
        <w:rPr>
          <w:rFonts w:ascii="Times New Roman" w:eastAsia="Times New Roman" w:hAnsi="Times New Roman"/>
          <w:b/>
          <w:color w:val="000000" w:themeColor="text1"/>
          <w:sz w:val="28"/>
          <w:szCs w:val="28"/>
          <w:lang w:eastAsia="ru-RU"/>
        </w:rPr>
        <w:t>ЗАУВАЖЕННЯ</w:t>
      </w:r>
    </w:p>
    <w:p w:rsidR="00DA3655" w:rsidRPr="00D43BA0" w:rsidRDefault="00DA3655" w:rsidP="00DA3655">
      <w:pPr>
        <w:spacing w:after="0" w:line="240" w:lineRule="auto"/>
        <w:jc w:val="center"/>
        <w:rPr>
          <w:rFonts w:ascii="Times New Roman" w:eastAsia="Times New Roman" w:hAnsi="Times New Roman"/>
          <w:color w:val="000000" w:themeColor="text1"/>
          <w:sz w:val="28"/>
          <w:szCs w:val="28"/>
          <w:lang w:eastAsia="ru-RU"/>
        </w:rPr>
      </w:pPr>
      <w:r w:rsidRPr="00D43BA0">
        <w:rPr>
          <w:rFonts w:ascii="Times New Roman" w:eastAsia="Times New Roman" w:hAnsi="Times New Roman"/>
          <w:b/>
          <w:color w:val="000000" w:themeColor="text1"/>
          <w:sz w:val="28"/>
          <w:szCs w:val="28"/>
          <w:lang w:eastAsia="ru-RU"/>
        </w:rPr>
        <w:t>до проекту Закону України про внесення змін до Закону України "Про забезпечення прав і свобод внутрішньо переміщених осіб" щодо звільнення внутрішньо переміщених осіб від негативних наслідків невиконання грошових зобов'язань</w:t>
      </w:r>
    </w:p>
    <w:p w:rsidR="00DA3655" w:rsidRPr="00D43BA0" w:rsidRDefault="00DA3655" w:rsidP="00DA3655">
      <w:pPr>
        <w:spacing w:before="120" w:after="0" w:line="240" w:lineRule="auto"/>
        <w:jc w:val="center"/>
        <w:rPr>
          <w:rFonts w:ascii="Times New Roman" w:eastAsia="Times New Roman" w:hAnsi="Times New Roman"/>
          <w:color w:val="000000" w:themeColor="text1"/>
          <w:sz w:val="28"/>
          <w:szCs w:val="28"/>
          <w:lang w:eastAsia="ru-RU"/>
        </w:rPr>
      </w:pPr>
      <w:r w:rsidRPr="00D43BA0">
        <w:rPr>
          <w:rFonts w:ascii="Times New Roman" w:eastAsia="Times New Roman" w:hAnsi="Times New Roman"/>
          <w:color w:val="000000" w:themeColor="text1"/>
          <w:sz w:val="28"/>
          <w:szCs w:val="28"/>
          <w:lang w:eastAsia="ru-RU"/>
        </w:rPr>
        <w:t xml:space="preserve">(реєстраційний № 2329) </w:t>
      </w:r>
    </w:p>
    <w:p w:rsidR="00DA3655" w:rsidRPr="00D43BA0" w:rsidRDefault="00DA3655" w:rsidP="00DA3655">
      <w:pPr>
        <w:spacing w:after="0" w:line="240" w:lineRule="auto"/>
        <w:jc w:val="both"/>
        <w:rPr>
          <w:rFonts w:ascii="Times New Roman" w:eastAsia="Times New Roman" w:hAnsi="Times New Roman"/>
          <w:color w:val="000000" w:themeColor="text1"/>
          <w:sz w:val="28"/>
          <w:szCs w:val="28"/>
          <w:lang w:eastAsia="ru-RU"/>
        </w:rPr>
      </w:pPr>
    </w:p>
    <w:p w:rsidR="00DA3655" w:rsidRPr="00D43BA0" w:rsidRDefault="00DA3655" w:rsidP="00DA3655">
      <w:pPr>
        <w:spacing w:after="120" w:line="240" w:lineRule="auto"/>
        <w:ind w:firstLine="709"/>
        <w:jc w:val="both"/>
        <w:rPr>
          <w:rStyle w:val="st42"/>
          <w:color w:val="000000" w:themeColor="text1"/>
          <w:sz w:val="28"/>
          <w:szCs w:val="28"/>
        </w:rPr>
      </w:pPr>
      <w:r w:rsidRPr="00D43BA0">
        <w:rPr>
          <w:rFonts w:ascii="Times New Roman" w:hAnsi="Times New Roman"/>
          <w:color w:val="000000" w:themeColor="text1"/>
          <w:sz w:val="28"/>
          <w:szCs w:val="28"/>
        </w:rPr>
        <w:t xml:space="preserve">У Головному юридичному управлінні опрацьовано підготовлений до другого читання Комітетом Верховної Ради України з питань прав людини, </w:t>
      </w:r>
      <w:proofErr w:type="spellStart"/>
      <w:r w:rsidRPr="00D43BA0">
        <w:rPr>
          <w:rFonts w:ascii="Times New Roman" w:hAnsi="Times New Roman"/>
          <w:color w:val="000000" w:themeColor="text1"/>
          <w:sz w:val="28"/>
          <w:szCs w:val="28"/>
        </w:rPr>
        <w:t>деокупації</w:t>
      </w:r>
      <w:proofErr w:type="spellEnd"/>
      <w:r w:rsidRPr="00D43BA0">
        <w:rPr>
          <w:rFonts w:ascii="Times New Roman" w:hAnsi="Times New Roman"/>
          <w:color w:val="000000" w:themeColor="text1"/>
          <w:sz w:val="28"/>
          <w:szCs w:val="28"/>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названий законопроект та </w:t>
      </w:r>
      <w:r w:rsidRPr="00D43BA0">
        <w:rPr>
          <w:rStyle w:val="st42"/>
          <w:sz w:val="28"/>
          <w:szCs w:val="28"/>
        </w:rPr>
        <w:t xml:space="preserve">звертається увага на актуальність зауважень, наданих до нього Головним науково-експертним управлінням щодо необхідності узгодження положень цього законопроекту із </w:t>
      </w:r>
      <w:r w:rsidRPr="00D43BA0">
        <w:rPr>
          <w:rFonts w:ascii="Times New Roman" w:hAnsi="Times New Roman"/>
          <w:bCs/>
          <w:sz w:val="28"/>
          <w:szCs w:val="28"/>
        </w:rPr>
        <w:t>Законом України "Про тимчасові заходи на період проведення антитерористичної операції" та Законом України "Про створення вільної економічної зони "Крим" та про особливості здійснення економічної діяльності на тимчасово окупованій території України"</w:t>
      </w:r>
      <w:r w:rsidRPr="00D43BA0">
        <w:rPr>
          <w:rStyle w:val="st42"/>
          <w:sz w:val="28"/>
          <w:szCs w:val="28"/>
        </w:rPr>
        <w:t>. Крім того,</w:t>
      </w:r>
      <w:r w:rsidR="004D5002">
        <w:rPr>
          <w:rStyle w:val="st42"/>
          <w:sz w:val="28"/>
          <w:szCs w:val="28"/>
        </w:rPr>
        <w:t xml:space="preserve"> за результатами аналізу положень законопроекту слід зазначити таке.</w:t>
      </w:r>
      <w:r w:rsidRPr="00D43BA0">
        <w:rPr>
          <w:rStyle w:val="st42"/>
          <w:sz w:val="28"/>
          <w:szCs w:val="28"/>
        </w:rPr>
        <w:t xml:space="preserve"> </w:t>
      </w:r>
    </w:p>
    <w:p w:rsidR="00DA3655" w:rsidRPr="00D43BA0" w:rsidRDefault="00DA3655" w:rsidP="00DA3655">
      <w:pPr>
        <w:spacing w:after="120" w:line="240" w:lineRule="auto"/>
        <w:ind w:firstLine="709"/>
        <w:jc w:val="both"/>
      </w:pPr>
      <w:r w:rsidRPr="00D43BA0">
        <w:rPr>
          <w:rFonts w:ascii="Times New Roman" w:hAnsi="Times New Roman"/>
          <w:sz w:val="28"/>
          <w:szCs w:val="28"/>
        </w:rPr>
        <w:t>1. Законопроектом пропонується доповнити Закон України "Про забезпечення прав і свобод внутрішньо переміщених осіб" (далі – Закон) статтею 9</w:t>
      </w:r>
      <w:r w:rsidRPr="00D43BA0">
        <w:rPr>
          <w:rFonts w:ascii="Times New Roman" w:hAnsi="Times New Roman"/>
          <w:sz w:val="28"/>
          <w:szCs w:val="28"/>
          <w:vertAlign w:val="superscript"/>
        </w:rPr>
        <w:t>2</w:t>
      </w:r>
      <w:r w:rsidRPr="00D43BA0">
        <w:rPr>
          <w:rFonts w:ascii="Times New Roman" w:hAnsi="Times New Roman"/>
          <w:sz w:val="28"/>
          <w:szCs w:val="28"/>
        </w:rPr>
        <w:t xml:space="preserve">, відповідно до частини другої якої </w:t>
      </w:r>
      <w:r w:rsidRPr="00D43BA0">
        <w:rPr>
          <w:rFonts w:ascii="Times New Roman" w:hAnsi="Times New Roman"/>
          <w:i/>
          <w:sz w:val="28"/>
          <w:szCs w:val="28"/>
        </w:rPr>
        <w:t>"за невиконання чи неналежне виконання внутрішньо переміщеною особою, визначеною частиною першою цієї статті, зобов'язань за кредитним договором та/або договором позики не нараховується неустойка (штраф, пеня), не настає відповідальність у вигляді сплати суми боргу з урахуванням встановленого індексу інфляції за весь час прострочення та процентів річних від простроченої суми, не застосовуються інші санкції майнового характеру"</w:t>
      </w:r>
      <w:r w:rsidRPr="00D43BA0">
        <w:rPr>
          <w:rFonts w:ascii="Times New Roman" w:hAnsi="Times New Roman"/>
          <w:sz w:val="28"/>
          <w:szCs w:val="28"/>
        </w:rPr>
        <w:t xml:space="preserve">. Таким чином, законопроектом пропонується звільнити окремі категорії осіб від будь-якої відповідальності за невиконання чи неналежне виконання договірних зобов'язань. </w:t>
      </w:r>
    </w:p>
    <w:p w:rsidR="00DA3655" w:rsidRPr="00D43BA0" w:rsidRDefault="00DA3655" w:rsidP="00DA3655">
      <w:pPr>
        <w:spacing w:after="120" w:line="240" w:lineRule="auto"/>
        <w:ind w:firstLine="709"/>
        <w:jc w:val="both"/>
        <w:rPr>
          <w:rFonts w:ascii="Times New Roman" w:hAnsi="Times New Roman"/>
          <w:sz w:val="28"/>
          <w:szCs w:val="28"/>
        </w:rPr>
      </w:pPr>
      <w:r w:rsidRPr="00D43BA0">
        <w:rPr>
          <w:rFonts w:ascii="Times New Roman" w:hAnsi="Times New Roman"/>
          <w:sz w:val="28"/>
          <w:szCs w:val="28"/>
        </w:rPr>
        <w:t xml:space="preserve">Загалом підтримуючи </w:t>
      </w:r>
      <w:r w:rsidR="004D5002">
        <w:rPr>
          <w:rFonts w:ascii="Times New Roman" w:hAnsi="Times New Roman"/>
          <w:sz w:val="28"/>
          <w:szCs w:val="28"/>
        </w:rPr>
        <w:t>мету прийняття</w:t>
      </w:r>
      <w:r w:rsidRPr="00D43BA0">
        <w:rPr>
          <w:rFonts w:ascii="Times New Roman" w:hAnsi="Times New Roman"/>
          <w:sz w:val="28"/>
          <w:szCs w:val="28"/>
        </w:rPr>
        <w:t xml:space="preserve"> законопроекту, зауважуємо, що звільнення від відповідальності за невиконання чи неналежне виконання </w:t>
      </w:r>
      <w:r w:rsidRPr="00D43BA0">
        <w:rPr>
          <w:rFonts w:ascii="Times New Roman" w:hAnsi="Times New Roman"/>
          <w:sz w:val="28"/>
          <w:szCs w:val="28"/>
        </w:rPr>
        <w:lastRenderedPageBreak/>
        <w:t xml:space="preserve">договірних зобов'язань окремих їх сторін повинно враховувати баланс інтересів усіх учасників цивільних та господарських правовідносин. Однак наведене положення законопроекту звільняє внутрішньо переміщених осіб </w:t>
      </w:r>
      <w:r w:rsidRPr="00D43BA0">
        <w:rPr>
          <w:rFonts w:ascii="Times New Roman" w:hAnsi="Times New Roman"/>
          <w:i/>
          <w:sz w:val="28"/>
          <w:szCs w:val="28"/>
        </w:rPr>
        <w:t>(громадян України, іноземців або осіб без громадянства)</w:t>
      </w:r>
      <w:r w:rsidRPr="00D43BA0">
        <w:rPr>
          <w:rFonts w:ascii="Times New Roman" w:hAnsi="Times New Roman"/>
          <w:sz w:val="28"/>
          <w:szCs w:val="28"/>
        </w:rPr>
        <w:t xml:space="preserve"> </w:t>
      </w:r>
      <w:r w:rsidRPr="00D43BA0">
        <w:rPr>
          <w:rFonts w:ascii="Times New Roman" w:hAnsi="Times New Roman"/>
          <w:b/>
          <w:sz w:val="28"/>
          <w:szCs w:val="28"/>
        </w:rPr>
        <w:t>не тільки від порушень договірних зобов'язань, що виникли у зв'язку із тимчасовою окупацією та вимушеним залишенням такими особами певних територій,</w:t>
      </w:r>
      <w:r w:rsidRPr="00D43BA0">
        <w:rPr>
          <w:rFonts w:ascii="Times New Roman" w:hAnsi="Times New Roman"/>
          <w:sz w:val="28"/>
          <w:szCs w:val="28"/>
        </w:rPr>
        <w:t xml:space="preserve"> </w:t>
      </w:r>
      <w:r w:rsidRPr="00D43BA0">
        <w:rPr>
          <w:rFonts w:ascii="Times New Roman" w:hAnsi="Times New Roman"/>
          <w:b/>
          <w:sz w:val="28"/>
          <w:szCs w:val="28"/>
        </w:rPr>
        <w:t>але й також</w:t>
      </w:r>
      <w:r w:rsidRPr="00D43BA0">
        <w:rPr>
          <w:rFonts w:ascii="Times New Roman" w:hAnsi="Times New Roman"/>
          <w:sz w:val="28"/>
          <w:szCs w:val="28"/>
        </w:rPr>
        <w:t xml:space="preserve"> </w:t>
      </w:r>
      <w:r w:rsidRPr="00D43BA0">
        <w:rPr>
          <w:rFonts w:ascii="Times New Roman" w:hAnsi="Times New Roman"/>
          <w:b/>
          <w:sz w:val="28"/>
          <w:szCs w:val="28"/>
        </w:rPr>
        <w:t>від будь-яких інших порушень договірних зобов'язань незалежно від обставин</w:t>
      </w:r>
      <w:r w:rsidRPr="00D43BA0">
        <w:rPr>
          <w:rFonts w:ascii="Times New Roman" w:hAnsi="Times New Roman"/>
          <w:sz w:val="28"/>
          <w:szCs w:val="28"/>
        </w:rPr>
        <w:t>. А тому, фактично створюються привілейовані умови (без належного законодавчого обґрунтування) виконання договірних зобов'язань, що не узгоджується із положеннями частини четвертої статті 13 Конституції України, за якою "усі суб'єкти права власності рівні перед законом". Крім того, має місце порушення визначеного статтею 4 Закону України "Про засади державної регуляторної політики у сфері господарської діяльності" принципу державної регуляторної політики щодо збалансованості у регуляторній діяльності балансу інтересів суб'єктів господарювання, громадян та держави.</w:t>
      </w:r>
    </w:p>
    <w:p w:rsidR="00DA3655" w:rsidRPr="00D43BA0" w:rsidRDefault="00DA3655" w:rsidP="00DA3655">
      <w:pPr>
        <w:spacing w:after="120" w:line="240" w:lineRule="auto"/>
        <w:ind w:firstLine="709"/>
        <w:jc w:val="both"/>
        <w:rPr>
          <w:rFonts w:ascii="Times New Roman" w:hAnsi="Times New Roman"/>
          <w:sz w:val="28"/>
          <w:szCs w:val="28"/>
        </w:rPr>
      </w:pPr>
      <w:r w:rsidRPr="00D43BA0">
        <w:rPr>
          <w:rFonts w:ascii="Times New Roman" w:hAnsi="Times New Roman"/>
          <w:sz w:val="28"/>
          <w:szCs w:val="28"/>
        </w:rPr>
        <w:t>2. Положенням частини четвертої нової статті 9</w:t>
      </w:r>
      <w:r w:rsidRPr="00D43BA0">
        <w:rPr>
          <w:rFonts w:ascii="Times New Roman" w:hAnsi="Times New Roman"/>
          <w:sz w:val="28"/>
          <w:szCs w:val="28"/>
          <w:vertAlign w:val="superscript"/>
        </w:rPr>
        <w:t xml:space="preserve">2 </w:t>
      </w:r>
      <w:r w:rsidRPr="00D43BA0">
        <w:rPr>
          <w:rFonts w:ascii="Times New Roman" w:hAnsi="Times New Roman"/>
          <w:sz w:val="28"/>
          <w:szCs w:val="28"/>
        </w:rPr>
        <w:t xml:space="preserve">Закону передбачається, що </w:t>
      </w:r>
      <w:r w:rsidRPr="00D43BA0">
        <w:rPr>
          <w:rFonts w:ascii="Times New Roman" w:hAnsi="Times New Roman"/>
          <w:i/>
          <w:sz w:val="28"/>
          <w:szCs w:val="28"/>
        </w:rPr>
        <w:t>"відступлення (продаж, передання) права вимоги за кредитним договором та/або договором позики, позичальником за яким є внутрішньо переміщена особа, визначена частиною першою цієї статті, без згоди боржника забороняється"</w:t>
      </w:r>
      <w:r w:rsidRPr="00D43BA0">
        <w:rPr>
          <w:rFonts w:ascii="Times New Roman" w:hAnsi="Times New Roman"/>
          <w:sz w:val="28"/>
          <w:szCs w:val="28"/>
        </w:rPr>
        <w:t>. Проте, наведена пропозиція не враховує того факту, що сама по собі заміна кредитора у зобов'язанні, якщо інше не встановлено договором або законом, не призводить до збільшення обсягу обов'язку боржника на користь кредитора (</w:t>
      </w:r>
      <w:r w:rsidRPr="00317DFB">
        <w:rPr>
          <w:rFonts w:ascii="Times New Roman" w:hAnsi="Times New Roman"/>
          <w:sz w:val="28"/>
          <w:szCs w:val="28"/>
        </w:rPr>
        <w:t>стаття 514 Ц</w:t>
      </w:r>
      <w:r w:rsidR="00317DFB" w:rsidRPr="00317DFB">
        <w:rPr>
          <w:rFonts w:ascii="Times New Roman" w:hAnsi="Times New Roman"/>
          <w:sz w:val="28"/>
          <w:szCs w:val="28"/>
        </w:rPr>
        <w:t>ивільного кодексу</w:t>
      </w:r>
      <w:r w:rsidRPr="00317DFB">
        <w:rPr>
          <w:rFonts w:ascii="Times New Roman" w:hAnsi="Times New Roman"/>
          <w:sz w:val="28"/>
          <w:szCs w:val="28"/>
        </w:rPr>
        <w:t xml:space="preserve"> України). Тобто, у разі відступлення права вимоги за кредитним договором чи</w:t>
      </w:r>
      <w:r w:rsidRPr="00D43BA0">
        <w:rPr>
          <w:rFonts w:ascii="Times New Roman" w:hAnsi="Times New Roman"/>
          <w:sz w:val="28"/>
          <w:szCs w:val="28"/>
        </w:rPr>
        <w:t xml:space="preserve"> договором позики, внутрішньо переміщена особа не повинна сплачувати більший розмір платежів, ніж передбачено договором, навіть з урахуванням зміни кредитора. Більше того, на нового кредитора також поширюватимуться положення законопроекту (у разі його прийняття як Закону) щодо звільнення внутрішньо переміщених осіб від негативних наслідків невиконання грошових зобов'язань. </w:t>
      </w:r>
    </w:p>
    <w:p w:rsidR="00DA3655" w:rsidRPr="00D43BA0" w:rsidRDefault="004D5002" w:rsidP="00DA3655">
      <w:pPr>
        <w:spacing w:after="120" w:line="240" w:lineRule="auto"/>
        <w:ind w:firstLine="709"/>
        <w:jc w:val="both"/>
        <w:rPr>
          <w:rFonts w:ascii="Times New Roman" w:hAnsi="Times New Roman"/>
          <w:sz w:val="28"/>
          <w:szCs w:val="28"/>
        </w:rPr>
      </w:pPr>
      <w:r>
        <w:rPr>
          <w:rFonts w:ascii="Times New Roman" w:hAnsi="Times New Roman"/>
          <w:sz w:val="28"/>
          <w:szCs w:val="28"/>
        </w:rPr>
        <w:t>В</w:t>
      </w:r>
      <w:r w:rsidR="00DA3655" w:rsidRPr="00D43BA0">
        <w:rPr>
          <w:rFonts w:ascii="Times New Roman" w:hAnsi="Times New Roman"/>
          <w:sz w:val="28"/>
          <w:szCs w:val="28"/>
        </w:rPr>
        <w:t>ідтак, наведене положення законопроекту не має належного законодавчого обґрунтування його доцільності,</w:t>
      </w:r>
      <w:r>
        <w:rPr>
          <w:rFonts w:ascii="Times New Roman" w:hAnsi="Times New Roman"/>
          <w:sz w:val="28"/>
          <w:szCs w:val="28"/>
        </w:rPr>
        <w:t xml:space="preserve"> а його реалізація може бути розцінена як</w:t>
      </w:r>
      <w:r w:rsidR="00DA3655" w:rsidRPr="00D43BA0">
        <w:rPr>
          <w:rFonts w:ascii="Times New Roman" w:hAnsi="Times New Roman"/>
          <w:sz w:val="28"/>
          <w:szCs w:val="28"/>
        </w:rPr>
        <w:t xml:space="preserve"> втручання в діял</w:t>
      </w:r>
      <w:r>
        <w:rPr>
          <w:rFonts w:ascii="Times New Roman" w:hAnsi="Times New Roman"/>
          <w:sz w:val="28"/>
          <w:szCs w:val="28"/>
        </w:rPr>
        <w:t>ьність суб'єктів господарювання. Такий законодавчий підхід</w:t>
      </w:r>
      <w:r w:rsidR="00DA3655" w:rsidRPr="00D43BA0">
        <w:rPr>
          <w:rFonts w:ascii="Times New Roman" w:hAnsi="Times New Roman"/>
          <w:sz w:val="28"/>
          <w:szCs w:val="28"/>
        </w:rPr>
        <w:t xml:space="preserve"> </w:t>
      </w:r>
      <w:bookmarkStart w:id="0" w:name="_GoBack"/>
      <w:bookmarkEnd w:id="0"/>
      <w:r w:rsidR="00DA3655" w:rsidRPr="00D43BA0">
        <w:rPr>
          <w:rFonts w:ascii="Times New Roman" w:hAnsi="Times New Roman"/>
          <w:sz w:val="28"/>
          <w:szCs w:val="28"/>
        </w:rPr>
        <w:t>суперечить частині першій статті 42 Конституції України (право на підприємницьку діяльність, не заборонену законом), а також не враховує пункту 4 частини першої статті 3 Ц</w:t>
      </w:r>
      <w:r w:rsidR="00317DFB">
        <w:rPr>
          <w:rFonts w:ascii="Times New Roman" w:hAnsi="Times New Roman"/>
          <w:sz w:val="28"/>
          <w:szCs w:val="28"/>
        </w:rPr>
        <w:t>ивільного кодексу</w:t>
      </w:r>
      <w:r w:rsidR="00DA3655" w:rsidRPr="00D43BA0">
        <w:rPr>
          <w:rFonts w:ascii="Times New Roman" w:hAnsi="Times New Roman"/>
          <w:sz w:val="28"/>
          <w:szCs w:val="28"/>
        </w:rPr>
        <w:t> України (принцип свободи підприємницької діяльності, яка не заборонена законом) та частини першої статті 6 Господарського кодексу України (загальними принципами господарювання в Україні є, зокрема: свобода підприємницької діяльності у межах, визначених законом; обмеження державного регулювання економічних процесів у зв'язку з необхідністю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 заборона незаконного втручання органів державної влади та органів місцевого самоврядування, їх посадових осіб у господарські відносини).</w:t>
      </w:r>
    </w:p>
    <w:p w:rsidR="00DA3655" w:rsidRPr="00D43BA0" w:rsidRDefault="00DA3655" w:rsidP="00DA3655">
      <w:pPr>
        <w:pStyle w:val="af0"/>
        <w:spacing w:after="120" w:line="240" w:lineRule="auto"/>
        <w:ind w:left="0" w:firstLine="709"/>
        <w:contextualSpacing w:val="0"/>
        <w:jc w:val="both"/>
        <w:rPr>
          <w:rFonts w:ascii="Times New Roman" w:hAnsi="Times New Roman"/>
          <w:color w:val="000000" w:themeColor="text1"/>
          <w:sz w:val="28"/>
          <w:szCs w:val="28"/>
        </w:rPr>
      </w:pPr>
    </w:p>
    <w:p w:rsidR="00DA3655" w:rsidRPr="00D43BA0" w:rsidRDefault="00DA3655" w:rsidP="00DA3655">
      <w:pPr>
        <w:spacing w:after="120" w:line="240" w:lineRule="auto"/>
        <w:ind w:firstLine="709"/>
        <w:jc w:val="both"/>
        <w:rPr>
          <w:rFonts w:ascii="Times New Roman" w:hAnsi="Times New Roman"/>
          <w:color w:val="000000" w:themeColor="text1"/>
          <w:sz w:val="28"/>
          <w:szCs w:val="28"/>
          <w:shd w:val="clear" w:color="auto" w:fill="FFFFFF"/>
        </w:rPr>
      </w:pPr>
      <w:r w:rsidRPr="00D43BA0">
        <w:rPr>
          <w:rFonts w:ascii="Times New Roman" w:hAnsi="Times New Roman"/>
          <w:color w:val="000000" w:themeColor="text1"/>
          <w:sz w:val="28"/>
          <w:szCs w:val="28"/>
        </w:rPr>
        <w:t xml:space="preserve">Зважаючи на висловлені зауваження, пропонуємо законопроект доопрацювати з урахуванням можливостей, передбачених </w:t>
      </w:r>
      <w:r w:rsidRPr="00D43BA0">
        <w:rPr>
          <w:rFonts w:ascii="Times New Roman" w:hAnsi="Times New Roman"/>
          <w:color w:val="000000" w:themeColor="text1"/>
          <w:sz w:val="28"/>
          <w:szCs w:val="28"/>
          <w:shd w:val="clear" w:color="auto" w:fill="FFFFFF"/>
        </w:rPr>
        <w:t xml:space="preserve">частиною шостою статті 118 Регламенту Верховної Ради України. </w:t>
      </w:r>
    </w:p>
    <w:p w:rsidR="00DA3655" w:rsidRPr="00D43BA0" w:rsidRDefault="00DA3655" w:rsidP="00DA3655">
      <w:pPr>
        <w:spacing w:before="120" w:after="0" w:line="240" w:lineRule="auto"/>
        <w:ind w:firstLine="709"/>
        <w:jc w:val="both"/>
        <w:rPr>
          <w:rFonts w:ascii="Times New Roman" w:hAnsi="Times New Roman"/>
          <w:color w:val="000000" w:themeColor="text1"/>
          <w:sz w:val="28"/>
          <w:szCs w:val="28"/>
        </w:rPr>
      </w:pPr>
    </w:p>
    <w:p w:rsidR="00DA3655" w:rsidRPr="00D43BA0" w:rsidRDefault="00D43BA0" w:rsidP="00D43BA0">
      <w:pPr>
        <w:spacing w:after="0" w:line="240" w:lineRule="auto"/>
        <w:jc w:val="both"/>
        <w:rPr>
          <w:rFonts w:ascii="Times New Roman" w:hAnsi="Times New Roman"/>
          <w:b/>
          <w:color w:val="000000" w:themeColor="text1"/>
          <w:sz w:val="28"/>
          <w:szCs w:val="28"/>
        </w:rPr>
      </w:pPr>
      <w:r w:rsidRPr="00D43BA0">
        <w:rPr>
          <w:rFonts w:ascii="Times New Roman" w:hAnsi="Times New Roman"/>
          <w:b/>
          <w:color w:val="000000" w:themeColor="text1"/>
          <w:sz w:val="28"/>
          <w:szCs w:val="28"/>
        </w:rPr>
        <w:t>Перший з</w:t>
      </w:r>
      <w:r w:rsidR="00DA3655" w:rsidRPr="00D43BA0">
        <w:rPr>
          <w:rFonts w:ascii="Times New Roman" w:hAnsi="Times New Roman"/>
          <w:b/>
          <w:color w:val="000000" w:themeColor="text1"/>
          <w:sz w:val="28"/>
          <w:szCs w:val="28"/>
        </w:rPr>
        <w:t xml:space="preserve">аступник Керівника </w:t>
      </w:r>
    </w:p>
    <w:p w:rsidR="00DA3655" w:rsidRPr="00D43BA0" w:rsidRDefault="00DA3655" w:rsidP="00DA3655">
      <w:pPr>
        <w:spacing w:after="0" w:line="240" w:lineRule="auto"/>
        <w:jc w:val="both"/>
        <w:rPr>
          <w:rFonts w:ascii="Times New Roman" w:eastAsia="Times New Roman" w:hAnsi="Times New Roman"/>
          <w:b/>
          <w:color w:val="000000" w:themeColor="text1"/>
          <w:sz w:val="16"/>
          <w:szCs w:val="16"/>
          <w:lang w:eastAsia="ru-RU"/>
        </w:rPr>
      </w:pPr>
      <w:r w:rsidRPr="00D43BA0">
        <w:rPr>
          <w:rFonts w:ascii="Times New Roman" w:hAnsi="Times New Roman"/>
          <w:b/>
          <w:color w:val="000000" w:themeColor="text1"/>
          <w:sz w:val="28"/>
          <w:szCs w:val="28"/>
        </w:rPr>
        <w:t>Головного управління</w:t>
      </w:r>
      <w:r w:rsidRPr="00D43BA0">
        <w:rPr>
          <w:rFonts w:ascii="Times New Roman" w:hAnsi="Times New Roman"/>
          <w:b/>
          <w:color w:val="000000" w:themeColor="text1"/>
          <w:sz w:val="28"/>
          <w:szCs w:val="28"/>
        </w:rPr>
        <w:tab/>
      </w:r>
      <w:r w:rsidR="00D43BA0">
        <w:rPr>
          <w:rFonts w:ascii="Times New Roman" w:hAnsi="Times New Roman"/>
          <w:b/>
          <w:color w:val="000000" w:themeColor="text1"/>
          <w:sz w:val="28"/>
          <w:szCs w:val="28"/>
        </w:rPr>
        <w:tab/>
      </w:r>
      <w:r w:rsidR="00D43BA0">
        <w:rPr>
          <w:rFonts w:ascii="Times New Roman" w:hAnsi="Times New Roman"/>
          <w:b/>
          <w:color w:val="000000" w:themeColor="text1"/>
          <w:sz w:val="28"/>
          <w:szCs w:val="28"/>
        </w:rPr>
        <w:tab/>
      </w:r>
      <w:r w:rsidR="00D43BA0" w:rsidRPr="00D43BA0">
        <w:rPr>
          <w:rFonts w:ascii="Times New Roman" w:hAnsi="Times New Roman"/>
          <w:b/>
          <w:color w:val="000000" w:themeColor="text1"/>
          <w:sz w:val="28"/>
          <w:szCs w:val="28"/>
        </w:rPr>
        <w:tab/>
      </w:r>
      <w:r w:rsidRPr="00D43BA0">
        <w:rPr>
          <w:rFonts w:ascii="Times New Roman" w:hAnsi="Times New Roman"/>
          <w:b/>
          <w:color w:val="000000" w:themeColor="text1"/>
          <w:sz w:val="28"/>
          <w:szCs w:val="28"/>
        </w:rPr>
        <w:tab/>
      </w:r>
      <w:r w:rsidRPr="00D43BA0">
        <w:rPr>
          <w:rFonts w:ascii="Times New Roman" w:hAnsi="Times New Roman"/>
          <w:b/>
          <w:color w:val="000000" w:themeColor="text1"/>
          <w:sz w:val="28"/>
          <w:szCs w:val="28"/>
        </w:rPr>
        <w:tab/>
      </w:r>
      <w:r w:rsidRPr="00D43BA0">
        <w:rPr>
          <w:rFonts w:ascii="Times New Roman" w:hAnsi="Times New Roman"/>
          <w:b/>
          <w:color w:val="000000" w:themeColor="text1"/>
          <w:sz w:val="28"/>
          <w:szCs w:val="28"/>
        </w:rPr>
        <w:tab/>
      </w:r>
      <w:r w:rsidR="00D43BA0" w:rsidRPr="00D43BA0">
        <w:rPr>
          <w:rFonts w:ascii="Times New Roman" w:hAnsi="Times New Roman"/>
          <w:b/>
          <w:color w:val="000000" w:themeColor="text1"/>
          <w:sz w:val="28"/>
          <w:szCs w:val="28"/>
        </w:rPr>
        <w:t xml:space="preserve">   А.НИЖНИК</w:t>
      </w:r>
    </w:p>
    <w:p w:rsidR="007167DA" w:rsidRPr="00D43BA0" w:rsidRDefault="007167DA" w:rsidP="00DA3655"/>
    <w:sectPr w:rsidR="007167DA" w:rsidRPr="00D43BA0" w:rsidSect="00063FA4">
      <w:headerReference w:type="default" r:id="rId8"/>
      <w:headerReference w:type="first" r:id="rId9"/>
      <w:pgSz w:w="11906" w:h="16838"/>
      <w:pgMar w:top="1134" w:right="567"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AB3" w:rsidRDefault="009C1AB3" w:rsidP="005E306B">
      <w:pPr>
        <w:spacing w:after="0" w:line="240" w:lineRule="auto"/>
      </w:pPr>
      <w:r>
        <w:separator/>
      </w:r>
    </w:p>
  </w:endnote>
  <w:endnote w:type="continuationSeparator" w:id="0">
    <w:p w:rsidR="009C1AB3" w:rsidRDefault="009C1AB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AB3" w:rsidRDefault="009C1AB3" w:rsidP="005E306B">
      <w:pPr>
        <w:spacing w:after="0" w:line="240" w:lineRule="auto"/>
      </w:pPr>
      <w:r>
        <w:separator/>
      </w:r>
    </w:p>
  </w:footnote>
  <w:footnote w:type="continuationSeparator" w:id="0">
    <w:p w:rsidR="009C1AB3" w:rsidRDefault="009C1AB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90770"/>
      <w:docPartObj>
        <w:docPartGallery w:val="Page Numbers (Top of Page)"/>
        <w:docPartUnique/>
      </w:docPartObj>
    </w:sdtPr>
    <w:sdtEndPr>
      <w:rPr>
        <w:rFonts w:ascii="Times New Roman" w:hAnsi="Times New Roman"/>
        <w:sz w:val="28"/>
        <w:szCs w:val="28"/>
      </w:rPr>
    </w:sdtEndPr>
    <w:sdtContent>
      <w:p w:rsidR="00140AA7" w:rsidRPr="00140AA7" w:rsidRDefault="00140AA7">
        <w:pPr>
          <w:pStyle w:val="a3"/>
          <w:jc w:val="center"/>
          <w:rPr>
            <w:rFonts w:ascii="Times New Roman" w:hAnsi="Times New Roman"/>
            <w:sz w:val="28"/>
            <w:szCs w:val="28"/>
          </w:rPr>
        </w:pPr>
        <w:r w:rsidRPr="00140AA7">
          <w:rPr>
            <w:rFonts w:ascii="Times New Roman" w:hAnsi="Times New Roman"/>
            <w:sz w:val="28"/>
            <w:szCs w:val="28"/>
          </w:rPr>
          <w:fldChar w:fldCharType="begin"/>
        </w:r>
        <w:r w:rsidRPr="00140AA7">
          <w:rPr>
            <w:rFonts w:ascii="Times New Roman" w:hAnsi="Times New Roman"/>
            <w:sz w:val="28"/>
            <w:szCs w:val="28"/>
          </w:rPr>
          <w:instrText>PAGE   \* MERGEFORMAT</w:instrText>
        </w:r>
        <w:r w:rsidRPr="00140AA7">
          <w:rPr>
            <w:rFonts w:ascii="Times New Roman" w:hAnsi="Times New Roman"/>
            <w:sz w:val="28"/>
            <w:szCs w:val="28"/>
          </w:rPr>
          <w:fldChar w:fldCharType="separate"/>
        </w:r>
        <w:r w:rsidR="004D5002">
          <w:rPr>
            <w:rFonts w:ascii="Times New Roman" w:hAnsi="Times New Roman"/>
            <w:noProof/>
            <w:sz w:val="28"/>
            <w:szCs w:val="28"/>
          </w:rPr>
          <w:t>3</w:t>
        </w:r>
        <w:r w:rsidRPr="00140AA7">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w:t>
          </w:r>
          <w:proofErr w:type="spellStart"/>
          <w:r w:rsidR="00C27AE9" w:rsidRPr="00A833C8">
            <w:rPr>
              <w:rFonts w:ascii="Times New Roman" w:hAnsi="Times New Roman"/>
              <w:color w:val="1829A8"/>
              <w:sz w:val="20"/>
              <w:szCs w:val="20"/>
            </w:rPr>
            <w:t>тел</w:t>
          </w:r>
          <w:proofErr w:type="spellEnd"/>
          <w:r w:rsidR="00C27AE9" w:rsidRPr="00A833C8">
            <w:rPr>
              <w:rFonts w:ascii="Times New Roman" w:hAnsi="Times New Roman"/>
              <w:color w:val="1829A8"/>
              <w:sz w:val="20"/>
              <w:szCs w:val="20"/>
            </w:rPr>
            <w:t>.:</w:t>
          </w:r>
          <w:r w:rsidR="00967456">
            <w:rPr>
              <w:rFonts w:ascii="Times New Roman" w:hAnsi="Times New Roman"/>
              <w:color w:val="1829A8"/>
              <w:sz w:val="20"/>
              <w:szCs w:val="20"/>
            </w:rPr>
            <w:t xml:space="preserve"> </w:t>
          </w:r>
          <w:r w:rsidR="00C27AE9" w:rsidRPr="00A833C8">
            <w:rPr>
              <w:rFonts w:ascii="Times New Roman" w:hAnsi="Times New Roman"/>
              <w:color w:val="1829A8"/>
              <w:sz w:val="20"/>
              <w:szCs w:val="20"/>
            </w:rPr>
            <w:t>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05525"/>
    <w:multiLevelType w:val="hybridMultilevel"/>
    <w:tmpl w:val="F404F00E"/>
    <w:lvl w:ilvl="0" w:tplc="7B1A0A9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C0813A2"/>
    <w:multiLevelType w:val="hybridMultilevel"/>
    <w:tmpl w:val="4D3A313E"/>
    <w:lvl w:ilvl="0" w:tplc="39586CE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1DAA415D"/>
    <w:multiLevelType w:val="hybridMultilevel"/>
    <w:tmpl w:val="995CD12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137"/>
    <w:rsid w:val="000041B5"/>
    <w:rsid w:val="0001232B"/>
    <w:rsid w:val="000153E2"/>
    <w:rsid w:val="000163C3"/>
    <w:rsid w:val="00031123"/>
    <w:rsid w:val="0003465C"/>
    <w:rsid w:val="0003690C"/>
    <w:rsid w:val="00043243"/>
    <w:rsid w:val="0005477A"/>
    <w:rsid w:val="00055F15"/>
    <w:rsid w:val="00063FA4"/>
    <w:rsid w:val="00070C49"/>
    <w:rsid w:val="00073BA4"/>
    <w:rsid w:val="00080B66"/>
    <w:rsid w:val="00081900"/>
    <w:rsid w:val="00081DFF"/>
    <w:rsid w:val="0009357D"/>
    <w:rsid w:val="0009379A"/>
    <w:rsid w:val="00096C3F"/>
    <w:rsid w:val="000A424F"/>
    <w:rsid w:val="000B392E"/>
    <w:rsid w:val="000B4350"/>
    <w:rsid w:val="000B6CE8"/>
    <w:rsid w:val="000C7815"/>
    <w:rsid w:val="000D4422"/>
    <w:rsid w:val="000F1502"/>
    <w:rsid w:val="000F1586"/>
    <w:rsid w:val="000F1E5F"/>
    <w:rsid w:val="000F4C96"/>
    <w:rsid w:val="0010278D"/>
    <w:rsid w:val="00123674"/>
    <w:rsid w:val="00130B00"/>
    <w:rsid w:val="00137E04"/>
    <w:rsid w:val="00140AA7"/>
    <w:rsid w:val="00141617"/>
    <w:rsid w:val="00145F11"/>
    <w:rsid w:val="001477BD"/>
    <w:rsid w:val="00147948"/>
    <w:rsid w:val="00147C74"/>
    <w:rsid w:val="00151275"/>
    <w:rsid w:val="001518FF"/>
    <w:rsid w:val="00155D38"/>
    <w:rsid w:val="00166096"/>
    <w:rsid w:val="00181BC0"/>
    <w:rsid w:val="00182530"/>
    <w:rsid w:val="00182DC5"/>
    <w:rsid w:val="0019108F"/>
    <w:rsid w:val="00195FF8"/>
    <w:rsid w:val="001966F0"/>
    <w:rsid w:val="00197BC2"/>
    <w:rsid w:val="001A356B"/>
    <w:rsid w:val="001A3C93"/>
    <w:rsid w:val="001A3FC8"/>
    <w:rsid w:val="001A6BD4"/>
    <w:rsid w:val="001B588A"/>
    <w:rsid w:val="001C3AD6"/>
    <w:rsid w:val="001C66BD"/>
    <w:rsid w:val="001D1645"/>
    <w:rsid w:val="001D1C39"/>
    <w:rsid w:val="001D3C24"/>
    <w:rsid w:val="001E34D1"/>
    <w:rsid w:val="001F1582"/>
    <w:rsid w:val="001F543D"/>
    <w:rsid w:val="00203D36"/>
    <w:rsid w:val="00214564"/>
    <w:rsid w:val="00235669"/>
    <w:rsid w:val="00235CD7"/>
    <w:rsid w:val="00244094"/>
    <w:rsid w:val="00250711"/>
    <w:rsid w:val="0025785E"/>
    <w:rsid w:val="002728ED"/>
    <w:rsid w:val="00285073"/>
    <w:rsid w:val="00285F07"/>
    <w:rsid w:val="00296FE8"/>
    <w:rsid w:val="0029764A"/>
    <w:rsid w:val="002A5D4C"/>
    <w:rsid w:val="002B1313"/>
    <w:rsid w:val="002B4CFC"/>
    <w:rsid w:val="002B5FC1"/>
    <w:rsid w:val="002D0561"/>
    <w:rsid w:val="002D1D2A"/>
    <w:rsid w:val="002D484F"/>
    <w:rsid w:val="002D7756"/>
    <w:rsid w:val="002E0A18"/>
    <w:rsid w:val="002E31BF"/>
    <w:rsid w:val="002E44DA"/>
    <w:rsid w:val="002E48F5"/>
    <w:rsid w:val="002E74D6"/>
    <w:rsid w:val="002F4097"/>
    <w:rsid w:val="002F4311"/>
    <w:rsid w:val="002F648B"/>
    <w:rsid w:val="00300A15"/>
    <w:rsid w:val="003056DC"/>
    <w:rsid w:val="00310E4E"/>
    <w:rsid w:val="00311B04"/>
    <w:rsid w:val="00311B45"/>
    <w:rsid w:val="0031253A"/>
    <w:rsid w:val="00317DFB"/>
    <w:rsid w:val="00327160"/>
    <w:rsid w:val="00331180"/>
    <w:rsid w:val="0034085F"/>
    <w:rsid w:val="0034240E"/>
    <w:rsid w:val="00354BEE"/>
    <w:rsid w:val="003564C5"/>
    <w:rsid w:val="00364B6B"/>
    <w:rsid w:val="003669EF"/>
    <w:rsid w:val="00370741"/>
    <w:rsid w:val="00374E8A"/>
    <w:rsid w:val="00375A99"/>
    <w:rsid w:val="003843CB"/>
    <w:rsid w:val="0038487D"/>
    <w:rsid w:val="00391DD1"/>
    <w:rsid w:val="00395D7E"/>
    <w:rsid w:val="003A5DE5"/>
    <w:rsid w:val="003C3FE5"/>
    <w:rsid w:val="003C5CA1"/>
    <w:rsid w:val="003C5FA9"/>
    <w:rsid w:val="003D0A8F"/>
    <w:rsid w:val="003D1CBA"/>
    <w:rsid w:val="003D248B"/>
    <w:rsid w:val="003E0245"/>
    <w:rsid w:val="003E10AD"/>
    <w:rsid w:val="003E338A"/>
    <w:rsid w:val="003E5F4E"/>
    <w:rsid w:val="003E6989"/>
    <w:rsid w:val="003F2CF5"/>
    <w:rsid w:val="0041442F"/>
    <w:rsid w:val="0041757C"/>
    <w:rsid w:val="0044039A"/>
    <w:rsid w:val="00440C4A"/>
    <w:rsid w:val="00442565"/>
    <w:rsid w:val="00451750"/>
    <w:rsid w:val="00453E79"/>
    <w:rsid w:val="0045555E"/>
    <w:rsid w:val="004720CB"/>
    <w:rsid w:val="00480F3F"/>
    <w:rsid w:val="00482032"/>
    <w:rsid w:val="00483DBA"/>
    <w:rsid w:val="004856AE"/>
    <w:rsid w:val="00492C8A"/>
    <w:rsid w:val="004935B7"/>
    <w:rsid w:val="004948A3"/>
    <w:rsid w:val="004A4B92"/>
    <w:rsid w:val="004A7D02"/>
    <w:rsid w:val="004B1BDA"/>
    <w:rsid w:val="004B48FD"/>
    <w:rsid w:val="004C6087"/>
    <w:rsid w:val="004D5002"/>
    <w:rsid w:val="004E4F5C"/>
    <w:rsid w:val="004E652D"/>
    <w:rsid w:val="004F4461"/>
    <w:rsid w:val="004F4DD3"/>
    <w:rsid w:val="004F7B8A"/>
    <w:rsid w:val="0050620F"/>
    <w:rsid w:val="00521AE9"/>
    <w:rsid w:val="00530F18"/>
    <w:rsid w:val="00542F17"/>
    <w:rsid w:val="00545610"/>
    <w:rsid w:val="0055005A"/>
    <w:rsid w:val="00553C8F"/>
    <w:rsid w:val="00554FE5"/>
    <w:rsid w:val="0055748C"/>
    <w:rsid w:val="005577A3"/>
    <w:rsid w:val="0056352F"/>
    <w:rsid w:val="0057504D"/>
    <w:rsid w:val="00576230"/>
    <w:rsid w:val="005854DC"/>
    <w:rsid w:val="00590559"/>
    <w:rsid w:val="0059279B"/>
    <w:rsid w:val="005A2451"/>
    <w:rsid w:val="005A4728"/>
    <w:rsid w:val="005B18C1"/>
    <w:rsid w:val="005B71F5"/>
    <w:rsid w:val="005C688A"/>
    <w:rsid w:val="005D0742"/>
    <w:rsid w:val="005E306B"/>
    <w:rsid w:val="005E4082"/>
    <w:rsid w:val="005F20B5"/>
    <w:rsid w:val="005F6783"/>
    <w:rsid w:val="00607C11"/>
    <w:rsid w:val="00617178"/>
    <w:rsid w:val="006208F5"/>
    <w:rsid w:val="0062436B"/>
    <w:rsid w:val="00626A3E"/>
    <w:rsid w:val="00634A7D"/>
    <w:rsid w:val="006370DA"/>
    <w:rsid w:val="006460D5"/>
    <w:rsid w:val="0065414F"/>
    <w:rsid w:val="00662042"/>
    <w:rsid w:val="0066623D"/>
    <w:rsid w:val="00673320"/>
    <w:rsid w:val="006746DF"/>
    <w:rsid w:val="006752C3"/>
    <w:rsid w:val="0067582D"/>
    <w:rsid w:val="0068168B"/>
    <w:rsid w:val="00690E00"/>
    <w:rsid w:val="00696ED3"/>
    <w:rsid w:val="006A41A4"/>
    <w:rsid w:val="006A4869"/>
    <w:rsid w:val="006C7A99"/>
    <w:rsid w:val="006D13E8"/>
    <w:rsid w:val="006D5FF5"/>
    <w:rsid w:val="006F10E8"/>
    <w:rsid w:val="006F4175"/>
    <w:rsid w:val="007135C6"/>
    <w:rsid w:val="00713E93"/>
    <w:rsid w:val="007150CB"/>
    <w:rsid w:val="00715F6A"/>
    <w:rsid w:val="007167DA"/>
    <w:rsid w:val="007235D7"/>
    <w:rsid w:val="0073224C"/>
    <w:rsid w:val="0073657E"/>
    <w:rsid w:val="007370CD"/>
    <w:rsid w:val="00740766"/>
    <w:rsid w:val="00741CB7"/>
    <w:rsid w:val="00747474"/>
    <w:rsid w:val="00751BF1"/>
    <w:rsid w:val="0076021C"/>
    <w:rsid w:val="007729E4"/>
    <w:rsid w:val="007934E2"/>
    <w:rsid w:val="00794CA3"/>
    <w:rsid w:val="007A04BD"/>
    <w:rsid w:val="007A7223"/>
    <w:rsid w:val="007B061D"/>
    <w:rsid w:val="007B2796"/>
    <w:rsid w:val="007B48EC"/>
    <w:rsid w:val="007C64E1"/>
    <w:rsid w:val="007D0726"/>
    <w:rsid w:val="007D4AA7"/>
    <w:rsid w:val="007D77AC"/>
    <w:rsid w:val="007E6024"/>
    <w:rsid w:val="007F5D91"/>
    <w:rsid w:val="0080545D"/>
    <w:rsid w:val="00807FE8"/>
    <w:rsid w:val="00811E1E"/>
    <w:rsid w:val="00814CE5"/>
    <w:rsid w:val="008208AF"/>
    <w:rsid w:val="0083513D"/>
    <w:rsid w:val="00850D33"/>
    <w:rsid w:val="00854370"/>
    <w:rsid w:val="00855A64"/>
    <w:rsid w:val="0085611A"/>
    <w:rsid w:val="0086120A"/>
    <w:rsid w:val="008670D5"/>
    <w:rsid w:val="0087517C"/>
    <w:rsid w:val="00876CBA"/>
    <w:rsid w:val="00877BAA"/>
    <w:rsid w:val="00883F82"/>
    <w:rsid w:val="00892E59"/>
    <w:rsid w:val="008A527B"/>
    <w:rsid w:val="008C764F"/>
    <w:rsid w:val="008E4C58"/>
    <w:rsid w:val="008E518F"/>
    <w:rsid w:val="009205C1"/>
    <w:rsid w:val="009216FE"/>
    <w:rsid w:val="00924AE3"/>
    <w:rsid w:val="0093642D"/>
    <w:rsid w:val="00945B68"/>
    <w:rsid w:val="0095090E"/>
    <w:rsid w:val="00954AF1"/>
    <w:rsid w:val="00957D31"/>
    <w:rsid w:val="00967456"/>
    <w:rsid w:val="00971E92"/>
    <w:rsid w:val="0097249F"/>
    <w:rsid w:val="00974D8D"/>
    <w:rsid w:val="009856BA"/>
    <w:rsid w:val="009908C1"/>
    <w:rsid w:val="0099166B"/>
    <w:rsid w:val="009A4ACE"/>
    <w:rsid w:val="009A720A"/>
    <w:rsid w:val="009B51D0"/>
    <w:rsid w:val="009C0077"/>
    <w:rsid w:val="009C1AB3"/>
    <w:rsid w:val="009C2341"/>
    <w:rsid w:val="009C75A2"/>
    <w:rsid w:val="009D52B6"/>
    <w:rsid w:val="00A00059"/>
    <w:rsid w:val="00A053AC"/>
    <w:rsid w:val="00A14922"/>
    <w:rsid w:val="00A226CF"/>
    <w:rsid w:val="00A26D7C"/>
    <w:rsid w:val="00A278C6"/>
    <w:rsid w:val="00A301F3"/>
    <w:rsid w:val="00A364E9"/>
    <w:rsid w:val="00A47CC5"/>
    <w:rsid w:val="00A55970"/>
    <w:rsid w:val="00A56634"/>
    <w:rsid w:val="00A679BF"/>
    <w:rsid w:val="00A71F4C"/>
    <w:rsid w:val="00A73B82"/>
    <w:rsid w:val="00A833C8"/>
    <w:rsid w:val="00A84E00"/>
    <w:rsid w:val="00A8628E"/>
    <w:rsid w:val="00AB2AD2"/>
    <w:rsid w:val="00AC5002"/>
    <w:rsid w:val="00AC50B4"/>
    <w:rsid w:val="00AD7831"/>
    <w:rsid w:val="00AD7F82"/>
    <w:rsid w:val="00AE5DD2"/>
    <w:rsid w:val="00AF3BEB"/>
    <w:rsid w:val="00B02526"/>
    <w:rsid w:val="00B04E9C"/>
    <w:rsid w:val="00B10680"/>
    <w:rsid w:val="00B14A5A"/>
    <w:rsid w:val="00B25587"/>
    <w:rsid w:val="00B435E9"/>
    <w:rsid w:val="00B561B2"/>
    <w:rsid w:val="00B57ED1"/>
    <w:rsid w:val="00B6099A"/>
    <w:rsid w:val="00B63C1B"/>
    <w:rsid w:val="00B802F8"/>
    <w:rsid w:val="00B8346E"/>
    <w:rsid w:val="00B86CB0"/>
    <w:rsid w:val="00B91271"/>
    <w:rsid w:val="00B914C8"/>
    <w:rsid w:val="00BA15DE"/>
    <w:rsid w:val="00BA2341"/>
    <w:rsid w:val="00BC7A84"/>
    <w:rsid w:val="00BD0801"/>
    <w:rsid w:val="00BD0AD8"/>
    <w:rsid w:val="00BD4ADB"/>
    <w:rsid w:val="00BD4CDC"/>
    <w:rsid w:val="00BF1E95"/>
    <w:rsid w:val="00C0435D"/>
    <w:rsid w:val="00C07F9C"/>
    <w:rsid w:val="00C11FB6"/>
    <w:rsid w:val="00C1307C"/>
    <w:rsid w:val="00C142EF"/>
    <w:rsid w:val="00C24F37"/>
    <w:rsid w:val="00C27AE9"/>
    <w:rsid w:val="00C40983"/>
    <w:rsid w:val="00C521D6"/>
    <w:rsid w:val="00C549FB"/>
    <w:rsid w:val="00C71CC2"/>
    <w:rsid w:val="00C83511"/>
    <w:rsid w:val="00CA0CDA"/>
    <w:rsid w:val="00CA550C"/>
    <w:rsid w:val="00CC39A1"/>
    <w:rsid w:val="00CC46FA"/>
    <w:rsid w:val="00CD1B34"/>
    <w:rsid w:val="00CD4A38"/>
    <w:rsid w:val="00CE3729"/>
    <w:rsid w:val="00CE38FB"/>
    <w:rsid w:val="00CE3E1B"/>
    <w:rsid w:val="00CE4BE5"/>
    <w:rsid w:val="00CE6A4B"/>
    <w:rsid w:val="00CF1AC3"/>
    <w:rsid w:val="00CF5B48"/>
    <w:rsid w:val="00D02DC8"/>
    <w:rsid w:val="00D059F4"/>
    <w:rsid w:val="00D237D1"/>
    <w:rsid w:val="00D242C2"/>
    <w:rsid w:val="00D25F0E"/>
    <w:rsid w:val="00D33276"/>
    <w:rsid w:val="00D349A3"/>
    <w:rsid w:val="00D3575A"/>
    <w:rsid w:val="00D423C8"/>
    <w:rsid w:val="00D43BA0"/>
    <w:rsid w:val="00D549FA"/>
    <w:rsid w:val="00D57E1B"/>
    <w:rsid w:val="00D71D33"/>
    <w:rsid w:val="00D74089"/>
    <w:rsid w:val="00D7452D"/>
    <w:rsid w:val="00D74E3D"/>
    <w:rsid w:val="00D76AFB"/>
    <w:rsid w:val="00D87A90"/>
    <w:rsid w:val="00D87F17"/>
    <w:rsid w:val="00D94E1A"/>
    <w:rsid w:val="00DA3655"/>
    <w:rsid w:val="00DB20D2"/>
    <w:rsid w:val="00DB67AA"/>
    <w:rsid w:val="00DC05DA"/>
    <w:rsid w:val="00DD1B34"/>
    <w:rsid w:val="00DD553E"/>
    <w:rsid w:val="00DD5D8A"/>
    <w:rsid w:val="00DD6C75"/>
    <w:rsid w:val="00DE1E08"/>
    <w:rsid w:val="00DE7C48"/>
    <w:rsid w:val="00DF352E"/>
    <w:rsid w:val="00E04092"/>
    <w:rsid w:val="00E17810"/>
    <w:rsid w:val="00E34D18"/>
    <w:rsid w:val="00E42415"/>
    <w:rsid w:val="00E50354"/>
    <w:rsid w:val="00E50F93"/>
    <w:rsid w:val="00E539DD"/>
    <w:rsid w:val="00E6167B"/>
    <w:rsid w:val="00E67FB5"/>
    <w:rsid w:val="00E733F9"/>
    <w:rsid w:val="00E91621"/>
    <w:rsid w:val="00EA173A"/>
    <w:rsid w:val="00EA719E"/>
    <w:rsid w:val="00EC09A2"/>
    <w:rsid w:val="00EC776D"/>
    <w:rsid w:val="00ED107B"/>
    <w:rsid w:val="00ED6EF1"/>
    <w:rsid w:val="00EE0B16"/>
    <w:rsid w:val="00EF260C"/>
    <w:rsid w:val="00F01A33"/>
    <w:rsid w:val="00F04DB8"/>
    <w:rsid w:val="00F056C4"/>
    <w:rsid w:val="00F44513"/>
    <w:rsid w:val="00F55423"/>
    <w:rsid w:val="00F600F3"/>
    <w:rsid w:val="00F60A97"/>
    <w:rsid w:val="00F6174E"/>
    <w:rsid w:val="00F73A2B"/>
    <w:rsid w:val="00F91B11"/>
    <w:rsid w:val="00F91DD3"/>
    <w:rsid w:val="00FB71C4"/>
    <w:rsid w:val="00FC31FF"/>
    <w:rsid w:val="00FC3DF4"/>
    <w:rsid w:val="00FD22B7"/>
    <w:rsid w:val="00FD36C1"/>
    <w:rsid w:val="00FE1078"/>
    <w:rsid w:val="00FE1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FFC10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styleId="af1">
    <w:name w:val="Hyperlink"/>
    <w:basedOn w:val="a0"/>
    <w:uiPriority w:val="99"/>
    <w:semiHidden/>
    <w:unhideWhenUsed/>
    <w:rsid w:val="004720CB"/>
    <w:rPr>
      <w:color w:val="0000FF"/>
      <w:u w:val="single"/>
    </w:rPr>
  </w:style>
  <w:style w:type="character" w:customStyle="1" w:styleId="rvts0">
    <w:name w:val="rvts0"/>
    <w:rsid w:val="00BA15DE"/>
  </w:style>
  <w:style w:type="character" w:customStyle="1" w:styleId="rvts9">
    <w:name w:val="rvts9"/>
    <w:rsid w:val="00BA15DE"/>
  </w:style>
  <w:style w:type="character" w:styleId="af2">
    <w:name w:val="annotation reference"/>
    <w:basedOn w:val="a0"/>
    <w:uiPriority w:val="99"/>
    <w:semiHidden/>
    <w:unhideWhenUsed/>
    <w:rsid w:val="00A679BF"/>
    <w:rPr>
      <w:sz w:val="16"/>
      <w:szCs w:val="16"/>
    </w:rPr>
  </w:style>
  <w:style w:type="paragraph" w:styleId="af3">
    <w:name w:val="annotation text"/>
    <w:basedOn w:val="a"/>
    <w:link w:val="af4"/>
    <w:uiPriority w:val="99"/>
    <w:semiHidden/>
    <w:unhideWhenUsed/>
    <w:rsid w:val="00A679BF"/>
    <w:pPr>
      <w:spacing w:line="240" w:lineRule="auto"/>
    </w:pPr>
    <w:rPr>
      <w:sz w:val="20"/>
      <w:szCs w:val="20"/>
    </w:rPr>
  </w:style>
  <w:style w:type="character" w:customStyle="1" w:styleId="af4">
    <w:name w:val="Текст примітки Знак"/>
    <w:basedOn w:val="a0"/>
    <w:link w:val="af3"/>
    <w:uiPriority w:val="99"/>
    <w:semiHidden/>
    <w:rsid w:val="00A679BF"/>
    <w:rPr>
      <w:sz w:val="20"/>
      <w:szCs w:val="20"/>
      <w:lang w:val="uk-UA"/>
    </w:rPr>
  </w:style>
  <w:style w:type="paragraph" w:styleId="af5">
    <w:name w:val="annotation subject"/>
    <w:basedOn w:val="af3"/>
    <w:next w:val="af3"/>
    <w:link w:val="af6"/>
    <w:uiPriority w:val="99"/>
    <w:semiHidden/>
    <w:unhideWhenUsed/>
    <w:rsid w:val="00A679BF"/>
    <w:rPr>
      <w:b/>
      <w:bCs/>
    </w:rPr>
  </w:style>
  <w:style w:type="character" w:customStyle="1" w:styleId="af6">
    <w:name w:val="Тема примітки Знак"/>
    <w:basedOn w:val="af4"/>
    <w:link w:val="af5"/>
    <w:uiPriority w:val="99"/>
    <w:semiHidden/>
    <w:rsid w:val="00A679BF"/>
    <w:rPr>
      <w:b/>
      <w:bCs/>
      <w:sz w:val="20"/>
      <w:szCs w:val="20"/>
      <w:lang w:val="uk-UA"/>
    </w:rPr>
  </w:style>
  <w:style w:type="character" w:customStyle="1" w:styleId="FontStyle">
    <w:name w:val="Font Style"/>
    <w:uiPriority w:val="99"/>
    <w:rsid w:val="004B1BDA"/>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928275954">
      <w:bodyDiv w:val="1"/>
      <w:marLeft w:val="0"/>
      <w:marRight w:val="0"/>
      <w:marTop w:val="0"/>
      <w:marBottom w:val="0"/>
      <w:divBdr>
        <w:top w:val="none" w:sz="0" w:space="0" w:color="auto"/>
        <w:left w:val="none" w:sz="0" w:space="0" w:color="auto"/>
        <w:bottom w:val="none" w:sz="0" w:space="0" w:color="auto"/>
        <w:right w:val="none" w:sz="0" w:space="0" w:color="auto"/>
      </w:divBdr>
    </w:div>
    <w:div w:id="103750499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16506-F684-45BA-B1F4-EDC6E01C5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3473</Words>
  <Characters>1980</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cp:lastModifiedBy>
  <cp:revision>5</cp:revision>
  <cp:lastPrinted>2021-04-06T07:20:00Z</cp:lastPrinted>
  <dcterms:created xsi:type="dcterms:W3CDTF">2021-05-11T06:30:00Z</dcterms:created>
  <dcterms:modified xsi:type="dcterms:W3CDTF">2021-05-11T13:51:00Z</dcterms:modified>
</cp:coreProperties>
</file>