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1B0" w:rsidRPr="00DE6888" w:rsidRDefault="008631B0">
      <w:pPr>
        <w:pStyle w:val="a3"/>
        <w:jc w:val="both"/>
        <w:rPr>
          <w:rFonts w:ascii="Arial" w:eastAsia="Arial" w:hAnsi="Arial" w:cs="Arial"/>
          <w:b w:val="0"/>
          <w:color w:val="000000"/>
          <w:sz w:val="22"/>
          <w:szCs w:val="22"/>
          <w:lang w:val="uk-UA"/>
        </w:rPr>
      </w:pPr>
    </w:p>
    <w:p w:rsidR="008631B0" w:rsidRPr="00DE6888" w:rsidRDefault="000221E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center"/>
        <w:rPr>
          <w:rFonts w:ascii="Times New Roman" w:eastAsia="Times New Roman" w:hAnsi="Times New Roman" w:cs="Times New Roman"/>
          <w:lang w:val="uk-UA"/>
        </w:rPr>
      </w:pPr>
      <w:r w:rsidRPr="00DE6888">
        <w:rPr>
          <w:rFonts w:ascii="Times New Roman" w:eastAsia="Times New Roman" w:hAnsi="Times New Roman" w:cs="Times New Roman"/>
          <w:lang w:val="uk-UA"/>
        </w:rPr>
        <w:t>ПОРІВНЯЛЬНА ТАБЛИЦЯ</w:t>
      </w:r>
    </w:p>
    <w:p w:rsidR="00085EDE" w:rsidRPr="00085EDE" w:rsidRDefault="000221E9" w:rsidP="00085ED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center"/>
        <w:rPr>
          <w:rFonts w:ascii="Times New Roman" w:eastAsia="Times New Roman" w:hAnsi="Times New Roman" w:cs="Times New Roman"/>
          <w:b/>
          <w:lang w:val="uk-UA"/>
        </w:rPr>
      </w:pPr>
      <w:r w:rsidRPr="00DE6888">
        <w:rPr>
          <w:rFonts w:ascii="Times New Roman" w:eastAsia="Times New Roman" w:hAnsi="Times New Roman" w:cs="Times New Roman"/>
          <w:b/>
          <w:lang w:val="uk-UA"/>
        </w:rPr>
        <w:t xml:space="preserve">до </w:t>
      </w:r>
      <w:proofErr w:type="spellStart"/>
      <w:r w:rsidRPr="00DE6888">
        <w:rPr>
          <w:rFonts w:ascii="Times New Roman" w:eastAsia="Times New Roman" w:hAnsi="Times New Roman" w:cs="Times New Roman"/>
          <w:b/>
          <w:lang w:val="uk-UA"/>
        </w:rPr>
        <w:t>проєкту</w:t>
      </w:r>
      <w:proofErr w:type="spellEnd"/>
      <w:r w:rsidRPr="00DE6888">
        <w:rPr>
          <w:rFonts w:ascii="Times New Roman" w:eastAsia="Times New Roman" w:hAnsi="Times New Roman" w:cs="Times New Roman"/>
          <w:b/>
          <w:lang w:val="uk-UA"/>
        </w:rPr>
        <w:t xml:space="preserve"> Закону України </w:t>
      </w:r>
      <w:r w:rsidR="00085EDE" w:rsidRPr="00085EDE">
        <w:rPr>
          <w:rFonts w:ascii="Times New Roman" w:eastAsia="Times New Roman" w:hAnsi="Times New Roman" w:cs="Times New Roman"/>
          <w:b/>
          <w:lang w:val="uk-UA"/>
        </w:rPr>
        <w:t xml:space="preserve">«Про    внесення     змін     до    деяких     законодавчих    актів    щодо     питання     сумісництва     працівників     патронатної    </w:t>
      </w:r>
    </w:p>
    <w:p w:rsidR="008631B0" w:rsidRPr="00DE6888" w:rsidRDefault="00085EDE" w:rsidP="00085EDE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center"/>
        <w:rPr>
          <w:rFonts w:ascii="Times New Roman" w:eastAsia="Times New Roman" w:hAnsi="Times New Roman" w:cs="Times New Roman"/>
          <w:b/>
          <w:lang w:val="uk-UA"/>
        </w:rPr>
      </w:pPr>
      <w:r w:rsidRPr="00085EDE">
        <w:rPr>
          <w:rFonts w:ascii="Times New Roman" w:eastAsia="Times New Roman" w:hAnsi="Times New Roman" w:cs="Times New Roman"/>
          <w:b/>
          <w:lang w:val="uk-UA"/>
        </w:rPr>
        <w:t>служби Верховної Ради України»</w:t>
      </w:r>
    </w:p>
    <w:p w:rsidR="008631B0" w:rsidRPr="00DE6888" w:rsidRDefault="008631B0">
      <w:pPr>
        <w:pStyle w:val="a3"/>
        <w:rPr>
          <w:rFonts w:ascii="Times New Roman" w:eastAsia="Times New Roman" w:hAnsi="Times New Roman" w:cs="Times New Roman"/>
          <w:lang w:val="uk-UA"/>
        </w:rPr>
      </w:pPr>
    </w:p>
    <w:p w:rsidR="00DE6888" w:rsidRPr="00DE6888" w:rsidRDefault="00DE6888" w:rsidP="00DE6888">
      <w:pPr>
        <w:rPr>
          <w:lang w:val="uk-UA"/>
        </w:rPr>
      </w:pPr>
    </w:p>
    <w:tbl>
      <w:tblPr>
        <w:tblStyle w:val="a5"/>
        <w:tblW w:w="14732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798"/>
        <w:gridCol w:w="6934"/>
      </w:tblGrid>
      <w:tr w:rsidR="008631B0" w:rsidRPr="00DE6888" w:rsidTr="00B54AB1">
        <w:tc>
          <w:tcPr>
            <w:tcW w:w="77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1B0" w:rsidRPr="00DE6888" w:rsidRDefault="000221E9">
            <w:pPr>
              <w:pStyle w:val="a3"/>
              <w:rPr>
                <w:rFonts w:ascii="Times New Roman" w:eastAsia="Times New Roman" w:hAnsi="Times New Roman" w:cs="Times New Roman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lang w:val="uk-UA"/>
              </w:rPr>
              <w:t>Чинна редакція</w:t>
            </w:r>
          </w:p>
        </w:tc>
        <w:tc>
          <w:tcPr>
            <w:tcW w:w="69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31B0" w:rsidRPr="00DE6888" w:rsidRDefault="00022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Times New Roman" w:eastAsia="Times New Roman" w:hAnsi="Times New Roman" w:cs="Times New Roman"/>
                <w:b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b/>
                <w:lang w:val="uk-UA"/>
              </w:rPr>
              <w:t>Редакція з урахуванням запропонованих змін</w:t>
            </w:r>
          </w:p>
        </w:tc>
      </w:tr>
      <w:tr w:rsidR="008631B0" w:rsidRPr="00DE6888" w:rsidTr="00B54AB1">
        <w:tc>
          <w:tcPr>
            <w:tcW w:w="1473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31B0" w:rsidRPr="00DE6888" w:rsidRDefault="00DE6888">
            <w:pPr>
              <w:pStyle w:val="a3"/>
              <w:ind w:left="1800"/>
              <w:rPr>
                <w:rFonts w:ascii="Times New Roman" w:eastAsia="Times New Roman" w:hAnsi="Times New Roman" w:cs="Times New Roman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lang w:val="uk-UA"/>
              </w:rPr>
              <w:t>Кодекс України про адміністративні правопорушення</w:t>
            </w:r>
          </w:p>
        </w:tc>
      </w:tr>
      <w:tr w:rsidR="00DE6888" w:rsidRPr="00CA2A57" w:rsidTr="00B54AB1">
        <w:tc>
          <w:tcPr>
            <w:tcW w:w="77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Стаття 172-4. Порушення обмежень щодо сумісництва та суміщення з іншими видами діяльності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…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 xml:space="preserve">Примітка. Суб’єктом правопорушень у цій статті є особи, зазначені у </w:t>
            </w:r>
            <w:hyperlink r:id="rId6" w:anchor="_blank">
              <w:r w:rsidRPr="00DE6888">
                <w:rPr>
                  <w:rFonts w:ascii="Times New Roman" w:eastAsia="Times New Roman" w:hAnsi="Times New Roman" w:cs="Times New Roman"/>
                  <w:color w:val="000000"/>
                  <w:lang w:val="uk-UA"/>
                </w:rPr>
                <w:t>пункті 1</w:t>
              </w:r>
            </w:hyperlink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 xml:space="preserve"> частини першої статті 3 Закону України "Про запобігання корупції", за винятком депутатів Верховної Ради Автономної Республіки Крим, депутатів місцевих рад (крім тих, які здійснюють свої повноваження у відповідній раді на постійній основі), присяжних.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</w:p>
        </w:tc>
        <w:tc>
          <w:tcPr>
            <w:tcW w:w="69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Стаття 172-4. Порушення обмежень щодо сумісництва та суміщення з іншими видами діяльності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…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 xml:space="preserve">Примітка. Суб’єктом правопорушень у цій статті є особи, зазначені у </w:t>
            </w:r>
            <w:hyperlink r:id="rId7" w:anchor="_blank">
              <w:r w:rsidRPr="00DE6888">
                <w:rPr>
                  <w:rFonts w:ascii="Times New Roman" w:eastAsia="Times New Roman" w:hAnsi="Times New Roman" w:cs="Times New Roman"/>
                  <w:color w:val="000000"/>
                  <w:lang w:val="uk-UA"/>
                </w:rPr>
                <w:t>пункті 1</w:t>
              </w:r>
            </w:hyperlink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 xml:space="preserve"> частини першої статті 3 Закону України "Про запобігання корупції", за винятком депутатів Верховної Ради Автономної Республіки Крим, депутатів місцевих рад (крім тих, які здійснюють свої повноваження у відповідній раді на постійній основі), присяжних</w:t>
            </w:r>
            <w:r w:rsidRPr="00DE6888"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  <w:t xml:space="preserve"> помічників-консультантів народних депутатів України, працівників секретаріатів Голови Верховної Ради України, його Першого заступника та заступника, працівників секретаріатів депутатських фракцій (депутатських груп) у Верховній Раді України</w:t>
            </w: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.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</w:p>
        </w:tc>
      </w:tr>
      <w:tr w:rsidR="00DE6888" w:rsidRPr="00DE6888" w:rsidTr="00AF77EC">
        <w:tc>
          <w:tcPr>
            <w:tcW w:w="1473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right="181" w:firstLine="43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  <w:t>Закону України “Про запобігання корупції”</w:t>
            </w:r>
          </w:p>
        </w:tc>
      </w:tr>
      <w:tr w:rsidR="00DE6888" w:rsidRPr="00CA2A57" w:rsidTr="00B54AB1">
        <w:tc>
          <w:tcPr>
            <w:tcW w:w="77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 xml:space="preserve">  Стаття 25. Обмеження щодо сумісництва та суміщення з іншими видами діяльності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1. Особам, зазначеним у пункті 1 частини першої статті 3 цього Закону, забороняється: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lastRenderedPageBreak/>
              <w:t>1) займатися іншою оплачуваною (крім викладацької, наукової і творчої діяльності, медичної практики, інструкторської та суддівської практики із спорту) або підприємницькою діяльністю, якщо інше не передбачено Конституцією або законами України;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2) входити до складу правління, інших виконавчих чи контрольних органів, наглядової ради підприємства або організації, що має на меті одержання прибутку (крім випадків, коли особи здійснюють функції з управління акціями (частками, паями), що належать державі чи територіальній громаді, та представляють інтереси держави чи територіальної громади в раді (спостережній раді), ревізійній комісії господарської організації), якщо інше не передбачено Конституцією або законами України.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181" w:firstLine="437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2. Обмеження, передбачені частиною першою цієї статті, не поширюються на депутатів Верховної Ради Автономної Республіки Крим, депутатів місцевих рад (крім тих, які здійснюють свої повноваження у відповідній раді на постійній основі), присяжних.</w:t>
            </w:r>
          </w:p>
        </w:tc>
        <w:tc>
          <w:tcPr>
            <w:tcW w:w="69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lastRenderedPageBreak/>
              <w:t xml:space="preserve"> Стаття 25. Обмеження щодо сумісництва та суміщення з іншими видами діяльності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1. Особам, зазначеним у пункті 1 частини першої статті 3 цього Закону, забороняється: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lastRenderedPageBreak/>
              <w:t>1) займатися іншою оплачуваною (крім викладацької, наукової і творчої діяльності, медичної практики, інструкторської та суддівської практики із спорту) або підприємницькою діяльністю, якщо інше не передбачено Конституцією або законами України;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2) входити до складу правління, інших виконавчих чи контрольних органів, наглядової ради підприємства або організації, що має на меті одержання прибутку (крім випадків, коли особи здійснюють функції з управління акціями (частками, паями), що належать державі чи територіальній громаді, та представляють інтереси держави чи територіальної громади в раді (спостережній раді), ревізійній комісії господарської організації), якщо інше не передбачено Конституцією або законами України.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right="181" w:firstLine="437"/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 xml:space="preserve">2. Обмеження, передбачені частиною першою цієї статті, не поширюються на депутатів Верховної Ради Автономної Республіки Крим, депутатів місцевих рад (крім тих, які здійснюють свої повноваження у відповідній раді на постійній основі), присяжних, </w:t>
            </w:r>
            <w:r w:rsidRPr="00DE6888"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  <w:t>помічників-консультантів народних депутатів України, працівників секретаріатів Голови Верховної Ради України, його Першого заступника та заступника, працівників секретаріатів депутатських фракцій (депутатських груп) у Верховній Раді України.</w:t>
            </w:r>
          </w:p>
        </w:tc>
      </w:tr>
      <w:tr w:rsidR="00DE6888" w:rsidRPr="00CA2A57" w:rsidTr="00B54AB1">
        <w:tc>
          <w:tcPr>
            <w:tcW w:w="77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lastRenderedPageBreak/>
              <w:t>Стаття 36. Запобігання конфлікту інтересів у зв’язку з наявністю в особи підприємств чи корпоративних прав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bookmarkStart w:id="0" w:name="2et92p0" w:colFirst="0" w:colLast="0"/>
            <w:bookmarkStart w:id="1" w:name="tyjcwt" w:colFirst="0" w:colLast="0"/>
            <w:bookmarkEnd w:id="0"/>
            <w:bookmarkEnd w:id="1"/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…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bookmarkStart w:id="2" w:name="3dy6vkm" w:colFirst="0" w:colLast="0"/>
            <w:bookmarkEnd w:id="2"/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6. Вимоги цієї статті не поширюються на: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bookmarkStart w:id="3" w:name="1t3h5sf" w:colFirst="0" w:colLast="0"/>
            <w:bookmarkEnd w:id="3"/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lastRenderedPageBreak/>
              <w:t>1) осіб, які входять як незалежні члени до складу наглядової ради державного банку, державного підприємства, державної організації, що має на меті одержання прибутку, господарського товариства, у статутному капіталі якого більше 50 відсотків акцій (часток) належать державі;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bookmarkStart w:id="4" w:name="4d34og8" w:colFirst="0" w:colLast="0"/>
            <w:bookmarkEnd w:id="4"/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2) депутатів місцевих рад (крім тих, які здійснюють свої повноваження у відповідній раді на постійній основі).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181" w:firstLine="437"/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  <w:t>Відсутня</w:t>
            </w:r>
          </w:p>
        </w:tc>
        <w:tc>
          <w:tcPr>
            <w:tcW w:w="69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lastRenderedPageBreak/>
              <w:t>Стаття 36. Запобігання конфлікту інтересів у зв’язку з наявністю в особи підприємств чи корпоративних прав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…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6. Вимоги цієї статті не поширюються на: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lastRenderedPageBreak/>
              <w:t>1) осіб, які входять як незалежні члени до складу наглядової ради державного банку, державного підприємства, державної організації, що має на меті одержання прибутку, господарського товариства, у статутному капіталі якого більше 50 відсотків акцій (часток) належать державі;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2) депутатів місцевих рад (крім тих, які здійснюють свої повноваження у відповідній раді на постійній основі);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right="181" w:firstLine="437"/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  <w:t>3) помічників-консультантів народних депутатів України, працівників секретаріатів Голови Верховної Ради України, його Першого заступника та заступника, працівників секретаріатів депутатських фракцій (депутатських груп) у Верховній Раді України.</w:t>
            </w:r>
          </w:p>
        </w:tc>
      </w:tr>
      <w:tr w:rsidR="00DE6888" w:rsidRPr="00CA2A57" w:rsidTr="00B54AB1">
        <w:tc>
          <w:tcPr>
            <w:tcW w:w="779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lastRenderedPageBreak/>
              <w:t>Стаття 40. Політична нейтральність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bookmarkStart w:id="5" w:name="2s8eyo1" w:colFirst="0" w:colLast="0"/>
            <w:bookmarkEnd w:id="5"/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…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181" w:firstLine="437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2. Положення частини першої цієї статті не поширюється на виборних осіб та осіб, які обіймають політичні посади.</w:t>
            </w:r>
          </w:p>
        </w:tc>
        <w:tc>
          <w:tcPr>
            <w:tcW w:w="69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Стаття 40. Політична нейтральність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0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…</w:t>
            </w:r>
          </w:p>
          <w:p w:rsidR="00DE6888" w:rsidRPr="00DE6888" w:rsidRDefault="00DE6888" w:rsidP="00DE68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right="181" w:firstLine="437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2. Положення частини першої цієї статті не поширюється на виборних осіб</w:t>
            </w:r>
            <w:r w:rsidRPr="00DE6888">
              <w:rPr>
                <w:rFonts w:ascii="Times New Roman" w:eastAsia="Times New Roman" w:hAnsi="Times New Roman" w:cs="Times New Roman"/>
                <w:b/>
                <w:color w:val="000000"/>
                <w:lang w:val="uk-UA"/>
              </w:rPr>
              <w:t>, помічників-консультантів народних депутатів України, працівників секретаріатів Голови Верховної Ради України, його Першого заступника та заступника, працівників секретаріатів депутатських фракцій (депутатських груп) у Верховній Раді України</w:t>
            </w:r>
            <w:r w:rsidRPr="00DE6888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 xml:space="preserve"> та осіб, які обіймають політичні посади.</w:t>
            </w:r>
          </w:p>
        </w:tc>
      </w:tr>
    </w:tbl>
    <w:p w:rsidR="00DE6888" w:rsidRPr="00DE6888" w:rsidRDefault="00DE68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jc w:val="left"/>
        <w:rPr>
          <w:rFonts w:ascii="Times New Roman" w:eastAsia="Times New Roman" w:hAnsi="Times New Roman" w:cs="Times New Roman"/>
          <w:b/>
          <w:lang w:val="uk-UA"/>
        </w:rPr>
      </w:pPr>
    </w:p>
    <w:p w:rsidR="00CA2A57" w:rsidRDefault="000221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jc w:val="left"/>
        <w:rPr>
          <w:rFonts w:ascii="Times New Roman" w:eastAsia="Times New Roman" w:hAnsi="Times New Roman" w:cs="Times New Roman"/>
          <w:b/>
          <w:lang w:val="uk-UA"/>
        </w:rPr>
      </w:pPr>
      <w:r w:rsidRPr="00DE6888">
        <w:rPr>
          <w:rFonts w:ascii="Times New Roman" w:eastAsia="Times New Roman" w:hAnsi="Times New Roman" w:cs="Times New Roman"/>
          <w:b/>
          <w:lang w:val="uk-UA"/>
        </w:rPr>
        <w:t>Народні депутати України</w:t>
      </w:r>
      <w:r w:rsidRPr="00DE6888">
        <w:rPr>
          <w:rFonts w:ascii="Times New Roman" w:eastAsia="Times New Roman" w:hAnsi="Times New Roman" w:cs="Times New Roman"/>
          <w:b/>
          <w:lang w:val="uk-UA"/>
        </w:rPr>
        <w:tab/>
        <w:t xml:space="preserve">               </w:t>
      </w:r>
    </w:p>
    <w:p w:rsidR="00CA2A57" w:rsidRPr="00CA2A57" w:rsidRDefault="000221E9" w:rsidP="00CA2A57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rFonts w:ascii="Times New Roman" w:eastAsia="Times New Roman" w:hAnsi="Times New Roman" w:cs="Times New Roman"/>
          <w:b/>
          <w:bCs/>
          <w:lang w:val="uk-UA"/>
        </w:rPr>
      </w:pPr>
      <w:r w:rsidRPr="00DE6888">
        <w:rPr>
          <w:rFonts w:ascii="Times New Roman" w:eastAsia="Times New Roman" w:hAnsi="Times New Roman" w:cs="Times New Roman"/>
          <w:b/>
          <w:lang w:val="uk-UA"/>
        </w:rPr>
        <w:t xml:space="preserve">                               </w:t>
      </w:r>
      <w:r w:rsidR="00CA2A57" w:rsidRPr="00CA2A57">
        <w:rPr>
          <w:rFonts w:ascii="Times New Roman" w:eastAsia="Times New Roman" w:hAnsi="Times New Roman" w:cs="Times New Roman"/>
          <w:b/>
          <w:bCs/>
          <w:lang w:val="uk-UA"/>
        </w:rPr>
        <w:t>Іонушас С. К.</w:t>
      </w:r>
    </w:p>
    <w:p w:rsidR="00CA2A57" w:rsidRPr="00CA2A57" w:rsidRDefault="00CA2A57" w:rsidP="00CA2A57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rFonts w:ascii="Times New Roman" w:eastAsia="Times New Roman" w:hAnsi="Times New Roman" w:cs="Times New Roman"/>
          <w:b/>
          <w:bCs/>
          <w:lang w:val="uk-UA"/>
        </w:rPr>
      </w:pPr>
      <w:proofErr w:type="spellStart"/>
      <w:r w:rsidRPr="00CA2A57">
        <w:rPr>
          <w:rFonts w:ascii="Times New Roman" w:eastAsia="Times New Roman" w:hAnsi="Times New Roman" w:cs="Times New Roman"/>
          <w:b/>
          <w:bCs/>
          <w:lang w:val="uk-UA"/>
        </w:rPr>
        <w:t>Красносільська</w:t>
      </w:r>
      <w:proofErr w:type="spellEnd"/>
      <w:r w:rsidRPr="00CA2A57">
        <w:rPr>
          <w:rFonts w:ascii="Times New Roman" w:eastAsia="Times New Roman" w:hAnsi="Times New Roman" w:cs="Times New Roman"/>
          <w:b/>
          <w:bCs/>
          <w:lang w:val="uk-UA"/>
        </w:rPr>
        <w:t xml:space="preserve"> А. О.</w:t>
      </w:r>
    </w:p>
    <w:p w:rsidR="00CA2A57" w:rsidRPr="00CA2A57" w:rsidRDefault="00CA2A57" w:rsidP="00CA2A57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rFonts w:ascii="Times New Roman" w:eastAsia="Times New Roman" w:hAnsi="Times New Roman" w:cs="Times New Roman"/>
          <w:b/>
          <w:bCs/>
          <w:lang w:val="uk-UA"/>
        </w:rPr>
      </w:pPr>
      <w:proofErr w:type="spellStart"/>
      <w:r w:rsidRPr="00CA2A57">
        <w:rPr>
          <w:rFonts w:ascii="Times New Roman" w:eastAsia="Times New Roman" w:hAnsi="Times New Roman" w:cs="Times New Roman"/>
          <w:b/>
          <w:bCs/>
          <w:lang w:val="uk-UA"/>
        </w:rPr>
        <w:t>Іванісов</w:t>
      </w:r>
      <w:proofErr w:type="spellEnd"/>
      <w:r w:rsidRPr="00CA2A57">
        <w:rPr>
          <w:rFonts w:ascii="Times New Roman" w:eastAsia="Times New Roman" w:hAnsi="Times New Roman" w:cs="Times New Roman"/>
          <w:b/>
          <w:bCs/>
          <w:lang w:val="uk-UA"/>
        </w:rPr>
        <w:t xml:space="preserve"> Р. В.</w:t>
      </w:r>
    </w:p>
    <w:p w:rsidR="00CA2A57" w:rsidRPr="00CA2A57" w:rsidRDefault="00CA2A57" w:rsidP="00CA2A57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rFonts w:ascii="Times New Roman" w:eastAsia="Times New Roman" w:hAnsi="Times New Roman" w:cs="Times New Roman"/>
          <w:b/>
          <w:bCs/>
          <w:lang w:val="uk-UA"/>
        </w:rPr>
      </w:pPr>
      <w:proofErr w:type="spellStart"/>
      <w:r w:rsidRPr="00CA2A57">
        <w:rPr>
          <w:rFonts w:ascii="Times New Roman" w:eastAsia="Times New Roman" w:hAnsi="Times New Roman" w:cs="Times New Roman"/>
          <w:b/>
          <w:bCs/>
          <w:lang w:val="uk-UA"/>
        </w:rPr>
        <w:lastRenderedPageBreak/>
        <w:t>Мошенець</w:t>
      </w:r>
      <w:proofErr w:type="spellEnd"/>
      <w:r w:rsidRPr="00CA2A57">
        <w:rPr>
          <w:rFonts w:ascii="Times New Roman" w:eastAsia="Times New Roman" w:hAnsi="Times New Roman" w:cs="Times New Roman"/>
          <w:b/>
          <w:bCs/>
          <w:lang w:val="uk-UA"/>
        </w:rPr>
        <w:t xml:space="preserve"> О. В.</w:t>
      </w:r>
    </w:p>
    <w:p w:rsidR="00CA2A57" w:rsidRPr="00CA2A57" w:rsidRDefault="00CA2A57" w:rsidP="00CA2A57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rFonts w:ascii="Times New Roman" w:eastAsia="Times New Roman" w:hAnsi="Times New Roman" w:cs="Times New Roman"/>
          <w:b/>
          <w:bCs/>
          <w:lang w:val="uk-UA"/>
        </w:rPr>
      </w:pPr>
      <w:r w:rsidRPr="00CA2A57">
        <w:rPr>
          <w:rFonts w:ascii="Times New Roman" w:eastAsia="Times New Roman" w:hAnsi="Times New Roman" w:cs="Times New Roman"/>
          <w:b/>
          <w:bCs/>
          <w:lang w:val="uk-UA"/>
        </w:rPr>
        <w:t>Шинкаренко І. А.</w:t>
      </w:r>
    </w:p>
    <w:p w:rsidR="00CA2A57" w:rsidRPr="00CA2A57" w:rsidRDefault="00CA2A57" w:rsidP="00CA2A57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rFonts w:ascii="Times New Roman" w:eastAsia="Times New Roman" w:hAnsi="Times New Roman" w:cs="Times New Roman"/>
          <w:b/>
          <w:bCs/>
          <w:lang w:val="uk-UA"/>
        </w:rPr>
      </w:pPr>
      <w:proofErr w:type="spellStart"/>
      <w:r w:rsidRPr="00CA2A57">
        <w:rPr>
          <w:rFonts w:ascii="Times New Roman" w:eastAsia="Times New Roman" w:hAnsi="Times New Roman" w:cs="Times New Roman"/>
          <w:b/>
          <w:bCs/>
        </w:rPr>
        <w:t>Чорний</w:t>
      </w:r>
      <w:proofErr w:type="spellEnd"/>
      <w:r w:rsidRPr="00CA2A57">
        <w:rPr>
          <w:rFonts w:ascii="Times New Roman" w:eastAsia="Times New Roman" w:hAnsi="Times New Roman" w:cs="Times New Roman"/>
          <w:b/>
          <w:bCs/>
        </w:rPr>
        <w:t xml:space="preserve"> В. </w:t>
      </w:r>
      <w:r w:rsidRPr="00CA2A57">
        <w:rPr>
          <w:rFonts w:ascii="Times New Roman" w:eastAsia="Times New Roman" w:hAnsi="Times New Roman" w:cs="Times New Roman"/>
          <w:b/>
          <w:bCs/>
          <w:lang w:val="uk-UA"/>
        </w:rPr>
        <w:t>І.</w:t>
      </w:r>
    </w:p>
    <w:p w:rsidR="00CA2A57" w:rsidRPr="00CA2A57" w:rsidRDefault="00CA2A57" w:rsidP="00CA2A57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rFonts w:ascii="Times New Roman" w:eastAsia="Times New Roman" w:hAnsi="Times New Roman" w:cs="Times New Roman"/>
          <w:b/>
          <w:bCs/>
          <w:lang w:val="uk-UA"/>
        </w:rPr>
      </w:pPr>
      <w:bookmarkStart w:id="6" w:name="_GoBack"/>
      <w:bookmarkEnd w:id="6"/>
      <w:proofErr w:type="spellStart"/>
      <w:r w:rsidRPr="00CA2A57">
        <w:rPr>
          <w:rFonts w:ascii="Times New Roman" w:eastAsia="Times New Roman" w:hAnsi="Times New Roman" w:cs="Times New Roman"/>
          <w:b/>
          <w:bCs/>
          <w:lang w:val="uk-UA"/>
        </w:rPr>
        <w:t>Сюмар</w:t>
      </w:r>
      <w:proofErr w:type="spellEnd"/>
      <w:r w:rsidRPr="00CA2A57">
        <w:rPr>
          <w:rFonts w:ascii="Times New Roman" w:eastAsia="Times New Roman" w:hAnsi="Times New Roman" w:cs="Times New Roman"/>
          <w:b/>
          <w:bCs/>
          <w:lang w:val="uk-UA"/>
        </w:rPr>
        <w:t xml:space="preserve"> В. П.</w:t>
      </w:r>
    </w:p>
    <w:p w:rsidR="00CA2A57" w:rsidRPr="00CA2A57" w:rsidRDefault="00CA2A57" w:rsidP="00CA2A57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rFonts w:ascii="Times New Roman" w:eastAsia="Times New Roman" w:hAnsi="Times New Roman" w:cs="Times New Roman"/>
          <w:b/>
          <w:bCs/>
          <w:lang w:val="uk-UA"/>
        </w:rPr>
      </w:pPr>
      <w:proofErr w:type="spellStart"/>
      <w:r w:rsidRPr="00CA2A57">
        <w:rPr>
          <w:rFonts w:ascii="Times New Roman" w:eastAsia="Times New Roman" w:hAnsi="Times New Roman" w:cs="Times New Roman"/>
          <w:b/>
          <w:bCs/>
          <w:lang w:val="uk-UA"/>
        </w:rPr>
        <w:t>Бурміч</w:t>
      </w:r>
      <w:proofErr w:type="spellEnd"/>
      <w:r w:rsidRPr="00CA2A57">
        <w:rPr>
          <w:rFonts w:ascii="Times New Roman" w:eastAsia="Times New Roman" w:hAnsi="Times New Roman" w:cs="Times New Roman"/>
          <w:b/>
          <w:bCs/>
          <w:lang w:val="uk-UA"/>
        </w:rPr>
        <w:t xml:space="preserve"> А. П.</w:t>
      </w:r>
    </w:p>
    <w:p w:rsidR="00CA2A57" w:rsidRPr="00CA2A57" w:rsidRDefault="00CA2A57" w:rsidP="00CA2A57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rFonts w:ascii="Times New Roman" w:eastAsia="Times New Roman" w:hAnsi="Times New Roman" w:cs="Times New Roman"/>
          <w:b/>
          <w:bCs/>
          <w:lang w:val="uk-UA"/>
        </w:rPr>
      </w:pPr>
      <w:r w:rsidRPr="00CA2A57">
        <w:rPr>
          <w:rFonts w:ascii="Times New Roman" w:eastAsia="Times New Roman" w:hAnsi="Times New Roman" w:cs="Times New Roman"/>
          <w:b/>
          <w:bCs/>
          <w:lang w:val="uk-UA"/>
        </w:rPr>
        <w:t>Ткаченко О. М.</w:t>
      </w:r>
    </w:p>
    <w:p w:rsidR="00CA2A57" w:rsidRPr="00CA2A57" w:rsidRDefault="00CA2A57" w:rsidP="00CA2A57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rFonts w:ascii="Times New Roman" w:eastAsia="Times New Roman" w:hAnsi="Times New Roman" w:cs="Times New Roman"/>
          <w:b/>
          <w:bCs/>
          <w:lang w:val="uk-UA"/>
        </w:rPr>
      </w:pPr>
      <w:proofErr w:type="spellStart"/>
      <w:r w:rsidRPr="00CA2A57">
        <w:rPr>
          <w:rFonts w:ascii="Times New Roman" w:eastAsia="Times New Roman" w:hAnsi="Times New Roman" w:cs="Times New Roman"/>
          <w:b/>
          <w:bCs/>
          <w:lang w:val="uk-UA"/>
        </w:rPr>
        <w:t>Славицька</w:t>
      </w:r>
      <w:proofErr w:type="spellEnd"/>
      <w:r w:rsidRPr="00CA2A57">
        <w:rPr>
          <w:rFonts w:ascii="Times New Roman" w:eastAsia="Times New Roman" w:hAnsi="Times New Roman" w:cs="Times New Roman"/>
          <w:b/>
          <w:bCs/>
          <w:lang w:val="uk-UA"/>
        </w:rPr>
        <w:t xml:space="preserve"> А. К.</w:t>
      </w:r>
    </w:p>
    <w:p w:rsidR="00CA2A57" w:rsidRPr="00CA2A57" w:rsidRDefault="00CA2A57" w:rsidP="00CA2A57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rFonts w:ascii="Times New Roman" w:eastAsia="Times New Roman" w:hAnsi="Times New Roman" w:cs="Times New Roman"/>
          <w:b/>
          <w:bCs/>
          <w:lang w:val="uk-UA"/>
        </w:rPr>
      </w:pPr>
      <w:proofErr w:type="spellStart"/>
      <w:r w:rsidRPr="00CA2A57">
        <w:rPr>
          <w:rFonts w:ascii="Times New Roman" w:eastAsia="Times New Roman" w:hAnsi="Times New Roman" w:cs="Times New Roman"/>
          <w:b/>
          <w:bCs/>
          <w:lang w:val="uk-UA"/>
        </w:rPr>
        <w:t>Одарченко</w:t>
      </w:r>
      <w:proofErr w:type="spellEnd"/>
      <w:r w:rsidRPr="00CA2A57">
        <w:rPr>
          <w:rFonts w:ascii="Times New Roman" w:eastAsia="Times New Roman" w:hAnsi="Times New Roman" w:cs="Times New Roman"/>
          <w:b/>
          <w:bCs/>
          <w:lang w:val="uk-UA"/>
        </w:rPr>
        <w:t xml:space="preserve"> А. М.</w:t>
      </w:r>
    </w:p>
    <w:p w:rsidR="008631B0" w:rsidRPr="00DE6888" w:rsidRDefault="000221E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jc w:val="left"/>
        <w:rPr>
          <w:rFonts w:ascii="Times New Roman" w:eastAsia="Times New Roman" w:hAnsi="Times New Roman" w:cs="Times New Roman"/>
          <w:b/>
          <w:lang w:val="uk-UA"/>
        </w:rPr>
      </w:pPr>
      <w:r w:rsidRPr="00DE6888">
        <w:rPr>
          <w:rFonts w:ascii="Times New Roman" w:eastAsia="Times New Roman" w:hAnsi="Times New Roman" w:cs="Times New Roman"/>
          <w:b/>
          <w:lang w:val="uk-UA"/>
        </w:rPr>
        <w:t xml:space="preserve">                                                                         </w:t>
      </w:r>
    </w:p>
    <w:sectPr w:rsidR="008631B0" w:rsidRPr="00DE6888" w:rsidSect="0051260F">
      <w:headerReference w:type="default" r:id="rId8"/>
      <w:footerReference w:type="default" r:id="rId9"/>
      <w:pgSz w:w="16838" w:h="11906" w:orient="landscape"/>
      <w:pgMar w:top="624" w:right="1418" w:bottom="851" w:left="851" w:header="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2971" w:rsidRDefault="007A2971">
      <w:r>
        <w:separator/>
      </w:r>
    </w:p>
  </w:endnote>
  <w:endnote w:type="continuationSeparator" w:id="0">
    <w:p w:rsidR="007A2971" w:rsidRDefault="007A2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1B0" w:rsidRDefault="008631B0">
    <w:pPr>
      <w:pBdr>
        <w:top w:val="nil"/>
        <w:left w:val="nil"/>
        <w:bottom w:val="nil"/>
        <w:right w:val="nil"/>
        <w:between w:val="nil"/>
      </w:pBdr>
      <w:ind w:firstLine="0"/>
      <w:jc w:val="lef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2971" w:rsidRDefault="007A2971">
      <w:r>
        <w:separator/>
      </w:r>
    </w:p>
  </w:footnote>
  <w:footnote w:type="continuationSeparator" w:id="0">
    <w:p w:rsidR="007A2971" w:rsidRDefault="007A29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1B0" w:rsidRDefault="008631B0">
    <w:pPr>
      <w:pBdr>
        <w:top w:val="nil"/>
        <w:left w:val="nil"/>
        <w:bottom w:val="nil"/>
        <w:right w:val="nil"/>
        <w:between w:val="nil"/>
      </w:pBdr>
      <w:ind w:firstLine="0"/>
      <w:jc w:val="left"/>
      <w:rPr>
        <w:color w:val="000000"/>
      </w:rPr>
    </w:pPr>
  </w:p>
  <w:p w:rsidR="008631B0" w:rsidRDefault="008631B0">
    <w:pPr>
      <w:pBdr>
        <w:top w:val="nil"/>
        <w:left w:val="nil"/>
        <w:bottom w:val="nil"/>
        <w:right w:val="nil"/>
        <w:between w:val="nil"/>
      </w:pBdr>
      <w:ind w:firstLine="0"/>
      <w:jc w:val="left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1B0"/>
    <w:rsid w:val="000221E9"/>
    <w:rsid w:val="00085EDE"/>
    <w:rsid w:val="000B6F3F"/>
    <w:rsid w:val="0051260F"/>
    <w:rsid w:val="00730485"/>
    <w:rsid w:val="007A2971"/>
    <w:rsid w:val="008631B0"/>
    <w:rsid w:val="00B54AB1"/>
    <w:rsid w:val="00CA2A57"/>
    <w:rsid w:val="00DE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B69234-05FE-46B7-A76E-9088493BF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="Verdana" w:hAnsi="Verdana" w:cs="Verdana"/>
        <w:sz w:val="28"/>
        <w:szCs w:val="28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ind w:firstLine="0"/>
      <w:jc w:val="center"/>
      <w:outlineLvl w:val="0"/>
    </w:pPr>
    <w:rPr>
      <w:b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3">
    <w:name w:val="heading 3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ind w:firstLine="0"/>
      <w:jc w:val="center"/>
      <w:outlineLvl w:val="3"/>
    </w:pPr>
    <w:rPr>
      <w:rFonts w:ascii="Times New Roman" w:eastAsia="Times New Roman" w:hAnsi="Times New Roman" w:cs="Times New Roman"/>
      <w:b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ind w:firstLine="0"/>
      <w:jc w:val="center"/>
    </w:pPr>
    <w:rPr>
      <w:b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header"/>
    <w:basedOn w:val="a"/>
    <w:link w:val="a8"/>
    <w:uiPriority w:val="99"/>
    <w:unhideWhenUsed/>
    <w:rsid w:val="00DE6888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DE6888"/>
  </w:style>
  <w:style w:type="paragraph" w:styleId="a9">
    <w:name w:val="footer"/>
    <w:basedOn w:val="a"/>
    <w:link w:val="aa"/>
    <w:uiPriority w:val="99"/>
    <w:unhideWhenUsed/>
    <w:rsid w:val="00DE6888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DE68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rada/show/1700-1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rada/show/1700-18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4017</Words>
  <Characters>2290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UCAB</dc:creator>
  <cp:lastModifiedBy>Іонушас Сергій Костянтинович</cp:lastModifiedBy>
  <cp:revision>5</cp:revision>
  <cp:lastPrinted>2019-11-05T07:52:00Z</cp:lastPrinted>
  <dcterms:created xsi:type="dcterms:W3CDTF">2019-11-04T13:48:00Z</dcterms:created>
  <dcterms:modified xsi:type="dcterms:W3CDTF">2019-11-05T09:32:00Z</dcterms:modified>
</cp:coreProperties>
</file>