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787" w:rsidRPr="001F5787" w:rsidRDefault="001F5787" w:rsidP="001F5787">
      <w:pPr>
        <w:spacing w:line="254" w:lineRule="auto"/>
        <w:rPr>
          <w:rFonts w:ascii="Times New Roman" w:hAnsi="Times New Roman"/>
          <w:b/>
          <w:sz w:val="28"/>
        </w:rPr>
      </w:pPr>
    </w:p>
    <w:p w:rsidR="00A155F0" w:rsidRPr="00A155F0" w:rsidRDefault="00A155F0" w:rsidP="00A155F0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155F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:rsidR="00A155F0" w:rsidRPr="00A155F0" w:rsidRDefault="00A155F0" w:rsidP="00A155F0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A155F0" w:rsidRPr="00A155F0" w:rsidRDefault="00A155F0" w:rsidP="00A155F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155F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ВИСНОВОК</w:t>
      </w:r>
    </w:p>
    <w:p w:rsidR="00A155F0" w:rsidRPr="00A155F0" w:rsidRDefault="00A155F0" w:rsidP="00A155F0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A155F0" w:rsidRPr="00A155F0" w:rsidRDefault="00A155F0" w:rsidP="00A155F0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155F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на проект Закону України</w:t>
      </w:r>
      <w:r w:rsidRPr="00A155F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</w:t>
      </w:r>
      <w:r w:rsidRPr="00A155F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про внесення змін до Кодексу України з процедур банкрутства щодо заходів, спрямованих на погашення заборгованості, що утворилася на оптовому ринку електричної енергії (реєстр. №2390), підготовлений до повторного другого читання</w:t>
      </w:r>
    </w:p>
    <w:p w:rsidR="00A155F0" w:rsidRPr="00A155F0" w:rsidRDefault="00A155F0" w:rsidP="00A155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155F0" w:rsidRPr="00A155F0" w:rsidRDefault="00A155F0" w:rsidP="00A155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дорученням Верховної Ради України Комітет з питань економічного розвитку на засіданні 30 вересня 2020 року в режимі </w:t>
      </w:r>
      <w:proofErr w:type="spellStart"/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>відеоконференції</w:t>
      </w:r>
      <w:proofErr w:type="spellEnd"/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розглянув зауваження і пропозиції, що надійшли від суб’єктів права законодавчої ініціативи </w:t>
      </w:r>
      <w:r w:rsidRPr="00A155F0">
        <w:rPr>
          <w:rFonts w:ascii="Times New Roman" w:eastAsia="Times New Roman" w:hAnsi="Times New Roman"/>
          <w:noProof/>
          <w:sz w:val="28"/>
          <w:szCs w:val="28"/>
          <w:lang w:val="uk-UA" w:eastAsia="ru-RU"/>
        </w:rPr>
        <w:t xml:space="preserve">до 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>проекту Закону України</w:t>
      </w:r>
      <w:r w:rsidRPr="00A155F0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Кодексу України з процедур банкрутства щодо заходів, спрямованих на погашення заборгованості, що утворилася на оптовому ринку електричної енергії (реєстр. №2390) направленого 3 вересня 2020 року на повторне друге читання (Постанова Верховної Ради України № 874-ІХ).</w:t>
      </w:r>
    </w:p>
    <w:p w:rsidR="00A155F0" w:rsidRPr="00A155F0" w:rsidRDefault="00A155F0" w:rsidP="00A155F0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noProof/>
          <w:sz w:val="28"/>
          <w:szCs w:val="28"/>
          <w:lang w:val="uk-UA" w:eastAsia="ru-RU"/>
        </w:rPr>
      </w:pPr>
      <w:r w:rsidRPr="00A155F0">
        <w:rPr>
          <w:rFonts w:ascii="Times New Roman" w:eastAsia="Times New Roman" w:hAnsi="Times New Roman"/>
          <w:noProof/>
          <w:sz w:val="28"/>
          <w:szCs w:val="28"/>
          <w:lang w:val="uk-UA" w:eastAsia="ru-RU"/>
        </w:rPr>
        <w:t xml:space="preserve">За результатами розгляду пропозицій 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>суб’єктів права законодавчої ініціативи, було підготовлено порівняльну таблицю законопроекту до повторного другого читання, яка містить усі внесені пропозиції (усього 6 п</w:t>
      </w:r>
      <w:r w:rsidRPr="00A155F0">
        <w:rPr>
          <w:rFonts w:ascii="Times New Roman" w:eastAsia="Times New Roman" w:hAnsi="Times New Roman"/>
          <w:noProof/>
          <w:sz w:val="28"/>
          <w:szCs w:val="28"/>
          <w:lang w:val="uk-UA" w:eastAsia="ru-RU"/>
        </w:rPr>
        <w:t>оправок), з яких 5 пропонується відхилити.</w:t>
      </w:r>
    </w:p>
    <w:p w:rsidR="00A155F0" w:rsidRPr="00A155F0" w:rsidRDefault="00A155F0" w:rsidP="00A155F0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A155F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Враховуючи викладене, Комітет прийняв рішення рекомендувати Верховній Раді України за результатами розгляду у повторному другому читанні прийняти проект Закону України 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 до Кодексу України з процедур банкрутства щодо заходів, спрямованих на погашення заборгованості, що утворилася на оптовому ринку електричної енергії (реєстр.  №2390) </w:t>
      </w:r>
      <w:r w:rsidRPr="00A155F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 другому читанні та в цілому з техніко-юридичним опрацюванням. </w:t>
      </w:r>
    </w:p>
    <w:p w:rsidR="00A155F0" w:rsidRPr="00A155F0" w:rsidRDefault="00A155F0" w:rsidP="00A155F0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A155F0">
        <w:rPr>
          <w:rFonts w:ascii="Times New Roman" w:eastAsia="Times New Roman" w:hAnsi="Times New Roman"/>
          <w:noProof/>
          <w:spacing w:val="2"/>
          <w:sz w:val="28"/>
          <w:szCs w:val="28"/>
          <w:lang w:val="uk-UA" w:eastAsia="ru-RU"/>
        </w:rPr>
        <w:t>Висновки юридичної експертизи та редакційного опрацювання додаються.</w:t>
      </w:r>
    </w:p>
    <w:p w:rsidR="00A155F0" w:rsidRPr="00A155F0" w:rsidRDefault="00A155F0" w:rsidP="00A155F0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Доповідач з цього питання на пленарному засіданні Верховної Ради України  - </w:t>
      </w:r>
      <w:r w:rsidRPr="00A155F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Голова Комітету </w:t>
      </w:r>
      <w:proofErr w:type="spellStart"/>
      <w:r w:rsidRPr="00A155F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Наталуха</w:t>
      </w:r>
      <w:proofErr w:type="spellEnd"/>
      <w:r w:rsidRPr="00A155F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Дмитро Андрійович.</w:t>
      </w:r>
    </w:p>
    <w:p w:rsidR="00A155F0" w:rsidRPr="00A155F0" w:rsidRDefault="00A155F0" w:rsidP="00A155F0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155F0" w:rsidRPr="00A155F0" w:rsidRDefault="00A155F0" w:rsidP="00A155F0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155F0" w:rsidRPr="00A155F0" w:rsidRDefault="00A155F0" w:rsidP="00A155F0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Голова Комітету</w:t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  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bookmarkStart w:id="0" w:name="_GoBack"/>
      <w:bookmarkEnd w:id="0"/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  </w:t>
      </w:r>
      <w:proofErr w:type="spellStart"/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Д.Наталуха</w:t>
      </w:r>
      <w:proofErr w:type="spellEnd"/>
    </w:p>
    <w:sectPr w:rsidR="00A155F0" w:rsidRPr="00A155F0" w:rsidSect="001F5787">
      <w:headerReference w:type="default" r:id="rId7"/>
      <w:headerReference w:type="first" r:id="rId8"/>
      <w:footerReference w:type="first" r:id="rId9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2BBD" w:rsidRDefault="007C2BBD" w:rsidP="005E306B">
      <w:pPr>
        <w:spacing w:after="0" w:line="240" w:lineRule="auto"/>
      </w:pPr>
      <w:r>
        <w:separator/>
      </w:r>
    </w:p>
  </w:endnote>
  <w:endnote w:type="continuationSeparator" w:id="0">
    <w:p w:rsidR="007C2BBD" w:rsidRDefault="007C2BB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2BBD" w:rsidRDefault="007C2BBD" w:rsidP="005E306B">
      <w:pPr>
        <w:spacing w:after="0" w:line="240" w:lineRule="auto"/>
      </w:pPr>
      <w:r>
        <w:separator/>
      </w:r>
    </w:p>
  </w:footnote>
  <w:footnote w:type="continuationSeparator" w:id="0">
    <w:p w:rsidR="007C2BBD" w:rsidRDefault="007C2BB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787" w:rsidRPr="001F5787" w:rsidRDefault="001F5787" w:rsidP="001F5787">
    <w:pPr>
      <w:spacing w:line="254" w:lineRule="auto"/>
      <w:jc w:val="right"/>
      <w:rPr>
        <w:rFonts w:ascii="Times New Roman" w:hAnsi="Times New Roman"/>
        <w:sz w:val="28"/>
      </w:rPr>
    </w:pPr>
    <w:r>
      <w:tab/>
    </w:r>
    <w:r w:rsidRPr="001F5787">
      <w:rPr>
        <w:rFonts w:ascii="Times New Roman" w:hAnsi="Times New Roman"/>
        <w:b/>
        <w:sz w:val="24"/>
        <w:szCs w:val="24"/>
      </w:rPr>
      <w:t xml:space="preserve">До </w:t>
    </w:r>
    <w:proofErr w:type="spellStart"/>
    <w:r w:rsidRPr="001F5787">
      <w:rPr>
        <w:rFonts w:ascii="Times New Roman" w:hAnsi="Times New Roman"/>
        <w:b/>
        <w:sz w:val="24"/>
        <w:szCs w:val="24"/>
      </w:rPr>
      <w:t>реєстр</w:t>
    </w:r>
    <w:proofErr w:type="spellEnd"/>
    <w:r w:rsidRPr="001F5787">
      <w:rPr>
        <w:rFonts w:ascii="Times New Roman" w:hAnsi="Times New Roman"/>
        <w:b/>
        <w:sz w:val="24"/>
        <w:szCs w:val="24"/>
      </w:rPr>
      <w:t xml:space="preserve">. № </w:t>
    </w:r>
    <w:r w:rsidR="00A155F0">
      <w:rPr>
        <w:rFonts w:ascii="Times New Roman" w:hAnsi="Times New Roman"/>
        <w:b/>
        <w:sz w:val="24"/>
        <w:szCs w:val="24"/>
        <w:lang w:val="uk-UA"/>
      </w:rPr>
      <w:t>2390</w:t>
    </w:r>
    <w:r w:rsidRPr="001F5787">
      <w:rPr>
        <w:rFonts w:ascii="Times New Roman" w:hAnsi="Times New Roman"/>
        <w:b/>
        <w:sz w:val="24"/>
        <w:szCs w:val="24"/>
      </w:rPr>
      <w:t xml:space="preserve"> </w:t>
    </w:r>
    <w:proofErr w:type="spellStart"/>
    <w:r w:rsidRPr="001F5787">
      <w:rPr>
        <w:rFonts w:ascii="Times New Roman" w:hAnsi="Times New Roman"/>
        <w:b/>
        <w:sz w:val="24"/>
        <w:szCs w:val="24"/>
      </w:rPr>
      <w:t>від</w:t>
    </w:r>
    <w:proofErr w:type="spellEnd"/>
    <w:r w:rsidRPr="001F5787">
      <w:rPr>
        <w:rFonts w:ascii="Times New Roman" w:hAnsi="Times New Roman"/>
        <w:b/>
        <w:sz w:val="24"/>
        <w:szCs w:val="24"/>
      </w:rPr>
      <w:t xml:space="preserve"> </w:t>
    </w:r>
    <w:r w:rsidR="00A155F0">
      <w:rPr>
        <w:rFonts w:ascii="Times New Roman" w:hAnsi="Times New Roman"/>
        <w:b/>
        <w:sz w:val="24"/>
        <w:szCs w:val="24"/>
        <w:lang w:val="uk-UA"/>
      </w:rPr>
      <w:t>06</w:t>
    </w:r>
    <w:r w:rsidR="00A155F0">
      <w:rPr>
        <w:rFonts w:ascii="Times New Roman" w:hAnsi="Times New Roman"/>
        <w:b/>
        <w:sz w:val="24"/>
        <w:szCs w:val="24"/>
      </w:rPr>
      <w:t>.11.2019</w:t>
    </w:r>
    <w:r w:rsidRPr="001F5787">
      <w:rPr>
        <w:rFonts w:ascii="Times New Roman" w:hAnsi="Times New Roman"/>
        <w:b/>
        <w:sz w:val="24"/>
        <w:szCs w:val="24"/>
      </w:rPr>
      <w:t>р</w:t>
    </w:r>
    <w:r w:rsidRPr="001F5787">
      <w:rPr>
        <w:rFonts w:ascii="Times New Roman" w:hAnsi="Times New Roman"/>
        <w:sz w:val="28"/>
      </w:rPr>
      <w:t>.</w:t>
    </w:r>
  </w:p>
  <w:p w:rsidR="001F5787" w:rsidRPr="00A155F0" w:rsidRDefault="00A155F0" w:rsidP="00A155F0">
    <w:pPr>
      <w:tabs>
        <w:tab w:val="left" w:pos="1232"/>
      </w:tabs>
      <w:jc w:val="right"/>
      <w:rPr>
        <w:rFonts w:ascii="Times New Roman" w:hAnsi="Times New Roman"/>
        <w:b/>
        <w:sz w:val="20"/>
        <w:szCs w:val="20"/>
      </w:rPr>
    </w:pPr>
    <w:r>
      <w:t>(</w:t>
    </w:r>
    <w:proofErr w:type="spellStart"/>
    <w:r w:rsidRPr="00A155F0">
      <w:rPr>
        <w:rFonts w:ascii="Times New Roman" w:hAnsi="Times New Roman"/>
        <w:b/>
        <w:sz w:val="20"/>
        <w:szCs w:val="20"/>
      </w:rPr>
      <w:t>повторне</w:t>
    </w:r>
    <w:proofErr w:type="spellEnd"/>
    <w:r w:rsidRPr="00A155F0">
      <w:rPr>
        <w:rFonts w:ascii="Times New Roman" w:hAnsi="Times New Roman"/>
        <w:b/>
        <w:sz w:val="20"/>
        <w:szCs w:val="20"/>
      </w:rPr>
      <w:t xml:space="preserve"> друге </w:t>
    </w:r>
    <w:proofErr w:type="spellStart"/>
    <w:r w:rsidRPr="00A155F0">
      <w:rPr>
        <w:rFonts w:ascii="Times New Roman" w:hAnsi="Times New Roman"/>
        <w:b/>
        <w:sz w:val="20"/>
        <w:szCs w:val="20"/>
      </w:rPr>
      <w:t>читання</w:t>
    </w:r>
    <w:proofErr w:type="spellEnd"/>
    <w:r w:rsidRPr="00A155F0">
      <w:rPr>
        <w:rFonts w:ascii="Times New Roman" w:hAnsi="Times New Roman"/>
        <w:b/>
        <w:sz w:val="20"/>
        <w:szCs w:val="20"/>
      </w:rPr>
      <w:t>)</w:t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F1586"/>
    <w:rsid w:val="000F734D"/>
    <w:rsid w:val="00117FAB"/>
    <w:rsid w:val="00141617"/>
    <w:rsid w:val="0019108F"/>
    <w:rsid w:val="0019231B"/>
    <w:rsid w:val="001966F0"/>
    <w:rsid w:val="001D3C24"/>
    <w:rsid w:val="001F47F4"/>
    <w:rsid w:val="001F5787"/>
    <w:rsid w:val="0021032F"/>
    <w:rsid w:val="00235CD7"/>
    <w:rsid w:val="002510A3"/>
    <w:rsid w:val="002A5D4C"/>
    <w:rsid w:val="002B5FC1"/>
    <w:rsid w:val="002D0561"/>
    <w:rsid w:val="002E0A18"/>
    <w:rsid w:val="002E31BF"/>
    <w:rsid w:val="002E44DA"/>
    <w:rsid w:val="003D0996"/>
    <w:rsid w:val="003D1CBA"/>
    <w:rsid w:val="00451750"/>
    <w:rsid w:val="004852FA"/>
    <w:rsid w:val="004C53C1"/>
    <w:rsid w:val="004E4F5C"/>
    <w:rsid w:val="004F7B8A"/>
    <w:rsid w:val="0050620F"/>
    <w:rsid w:val="005064BC"/>
    <w:rsid w:val="00545919"/>
    <w:rsid w:val="0055005A"/>
    <w:rsid w:val="0056039F"/>
    <w:rsid w:val="0056352F"/>
    <w:rsid w:val="005A4728"/>
    <w:rsid w:val="005B71F5"/>
    <w:rsid w:val="005C674D"/>
    <w:rsid w:val="005E306B"/>
    <w:rsid w:val="005F20B5"/>
    <w:rsid w:val="00626A3E"/>
    <w:rsid w:val="00660B13"/>
    <w:rsid w:val="0066623D"/>
    <w:rsid w:val="006F10E8"/>
    <w:rsid w:val="00713E93"/>
    <w:rsid w:val="0073224C"/>
    <w:rsid w:val="007A0252"/>
    <w:rsid w:val="007C2BBD"/>
    <w:rsid w:val="007F5D91"/>
    <w:rsid w:val="0080545D"/>
    <w:rsid w:val="0084269F"/>
    <w:rsid w:val="00844755"/>
    <w:rsid w:val="008975EA"/>
    <w:rsid w:val="008D7BBE"/>
    <w:rsid w:val="00945B68"/>
    <w:rsid w:val="00953F00"/>
    <w:rsid w:val="00957D31"/>
    <w:rsid w:val="00972232"/>
    <w:rsid w:val="009865D4"/>
    <w:rsid w:val="009A720A"/>
    <w:rsid w:val="00A00059"/>
    <w:rsid w:val="00A155F0"/>
    <w:rsid w:val="00A60747"/>
    <w:rsid w:val="00A7635E"/>
    <w:rsid w:val="00A76A60"/>
    <w:rsid w:val="00A833C8"/>
    <w:rsid w:val="00AD7F82"/>
    <w:rsid w:val="00B311E8"/>
    <w:rsid w:val="00BD0801"/>
    <w:rsid w:val="00BF1E95"/>
    <w:rsid w:val="00C11FB6"/>
    <w:rsid w:val="00C27AE9"/>
    <w:rsid w:val="00C86266"/>
    <w:rsid w:val="00CA7044"/>
    <w:rsid w:val="00CB4E27"/>
    <w:rsid w:val="00CC39A1"/>
    <w:rsid w:val="00CD4A38"/>
    <w:rsid w:val="00CE3E1B"/>
    <w:rsid w:val="00CE6A4B"/>
    <w:rsid w:val="00D22048"/>
    <w:rsid w:val="00D242C2"/>
    <w:rsid w:val="00D37FA2"/>
    <w:rsid w:val="00D4127A"/>
    <w:rsid w:val="00D52549"/>
    <w:rsid w:val="00D57E1B"/>
    <w:rsid w:val="00DF0115"/>
    <w:rsid w:val="00E22553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3AAB88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D2CEB-095C-4B4E-A38C-1F6D7D534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1102</Words>
  <Characters>629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Дюбенко Андрій Вячеславович</cp:lastModifiedBy>
  <cp:revision>2</cp:revision>
  <cp:lastPrinted>2019-11-08T11:28:00Z</cp:lastPrinted>
  <dcterms:created xsi:type="dcterms:W3CDTF">2020-10-01T07:11:00Z</dcterms:created>
  <dcterms:modified xsi:type="dcterms:W3CDTF">2020-10-01T07:11:00Z</dcterms:modified>
</cp:coreProperties>
</file>