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0A1" w:rsidRPr="00C07C55" w:rsidRDefault="00B810A1" w:rsidP="00B810A1">
      <w:pPr>
        <w:jc w:val="center"/>
        <w:rPr>
          <w:rFonts w:ascii="Times New Roman" w:hAnsi="Times New Roman"/>
          <w:b/>
          <w:sz w:val="28"/>
        </w:rPr>
      </w:pPr>
      <w:bookmarkStart w:id="0" w:name="_GoBack"/>
      <w:bookmarkEnd w:id="0"/>
      <w:r w:rsidRPr="00C07C55">
        <w:rPr>
          <w:rFonts w:ascii="Times New Roman" w:hAnsi="Times New Roman"/>
          <w:b/>
          <w:sz w:val="28"/>
        </w:rPr>
        <w:t>Висновок</w:t>
      </w:r>
    </w:p>
    <w:p w:rsidR="00B810A1" w:rsidRPr="00C07C55" w:rsidRDefault="00B810A1" w:rsidP="00B810A1">
      <w:pPr>
        <w:spacing w:after="0"/>
        <w:jc w:val="center"/>
        <w:rPr>
          <w:rFonts w:ascii="Times New Roman" w:hAnsi="Times New Roman"/>
          <w:b/>
          <w:sz w:val="28"/>
        </w:rPr>
      </w:pPr>
      <w:r w:rsidRPr="00C07C55">
        <w:rPr>
          <w:rFonts w:ascii="Times New Roman" w:hAnsi="Times New Roman"/>
          <w:b/>
          <w:sz w:val="28"/>
        </w:rPr>
        <w:t xml:space="preserve">на предмет відповідності праву ЄС проекту Закону України </w:t>
      </w:r>
    </w:p>
    <w:p w:rsidR="00B810A1" w:rsidRPr="00C07C55" w:rsidRDefault="00B810A1" w:rsidP="00B810A1">
      <w:pPr>
        <w:spacing w:after="0"/>
        <w:jc w:val="center"/>
        <w:rPr>
          <w:rFonts w:ascii="Times New Roman" w:hAnsi="Times New Roman"/>
          <w:b/>
          <w:sz w:val="28"/>
        </w:rPr>
      </w:pPr>
      <w:r w:rsidRPr="00C07C55">
        <w:rPr>
          <w:rFonts w:ascii="Times New Roman" w:hAnsi="Times New Roman"/>
          <w:b/>
          <w:sz w:val="28"/>
        </w:rPr>
        <w:t xml:space="preserve">«Про </w:t>
      </w:r>
      <w:r w:rsidRPr="00B810A1">
        <w:rPr>
          <w:rFonts w:ascii="Times New Roman" w:hAnsi="Times New Roman"/>
          <w:b/>
          <w:sz w:val="28"/>
        </w:rPr>
        <w:t>внесення змін до Повітряного кодексу України щодо удосконалення механізму справляння державних зборів за кожного пасажира, який відлітає з аеропорту України, та за кожну тонну вантажу, що відправляється чи прибуває до аеропорту України</w:t>
      </w:r>
      <w:r w:rsidRPr="00C07C55">
        <w:rPr>
          <w:rFonts w:ascii="Times New Roman" w:hAnsi="Times New Roman"/>
          <w:b/>
          <w:sz w:val="28"/>
        </w:rPr>
        <w:t xml:space="preserve">» </w:t>
      </w:r>
    </w:p>
    <w:p w:rsidR="00B810A1" w:rsidRPr="00C07C55" w:rsidRDefault="00B810A1" w:rsidP="00B810A1">
      <w:pPr>
        <w:spacing w:after="0"/>
        <w:jc w:val="center"/>
        <w:rPr>
          <w:rFonts w:ascii="Times New Roman" w:hAnsi="Times New Roman"/>
          <w:b/>
          <w:sz w:val="28"/>
        </w:rPr>
      </w:pPr>
      <w:r w:rsidRPr="00C07C55">
        <w:rPr>
          <w:rFonts w:ascii="Times New Roman" w:hAnsi="Times New Roman"/>
          <w:b/>
          <w:sz w:val="28"/>
        </w:rPr>
        <w:t xml:space="preserve">(реєстр. </w:t>
      </w:r>
      <w:r w:rsidRPr="00B810A1">
        <w:rPr>
          <w:rFonts w:ascii="Times New Roman" w:hAnsi="Times New Roman"/>
          <w:b/>
          <w:sz w:val="28"/>
        </w:rPr>
        <w:t>№ 2424 від 12.11.2019</w:t>
      </w:r>
      <w:r w:rsidRPr="00C07C55">
        <w:rPr>
          <w:rFonts w:ascii="Times New Roman" w:hAnsi="Times New Roman"/>
          <w:b/>
          <w:sz w:val="28"/>
        </w:rPr>
        <w:t xml:space="preserve">) </w:t>
      </w:r>
    </w:p>
    <w:p w:rsidR="00B810A1" w:rsidRPr="00C07C55" w:rsidRDefault="00B810A1" w:rsidP="00B810A1">
      <w:pPr>
        <w:spacing w:after="0"/>
        <w:jc w:val="both"/>
        <w:rPr>
          <w:rFonts w:ascii="Times New Roman" w:hAnsi="Times New Roman"/>
          <w:b/>
          <w:sz w:val="28"/>
        </w:rPr>
      </w:pPr>
    </w:p>
    <w:p w:rsidR="00B810A1" w:rsidRPr="00C07C55" w:rsidRDefault="00B810A1" w:rsidP="00B810A1">
      <w:pPr>
        <w:numPr>
          <w:ilvl w:val="0"/>
          <w:numId w:val="1"/>
        </w:numPr>
        <w:contextualSpacing/>
        <w:rPr>
          <w:rFonts w:ascii="Times New Roman" w:hAnsi="Times New Roman"/>
          <w:b/>
          <w:sz w:val="28"/>
        </w:rPr>
      </w:pPr>
      <w:r w:rsidRPr="00C07C55">
        <w:rPr>
          <w:rFonts w:ascii="Times New Roman" w:hAnsi="Times New Roman"/>
          <w:b/>
          <w:sz w:val="28"/>
        </w:rPr>
        <w:t>Загальна характеристика законопроекту:</w:t>
      </w:r>
    </w:p>
    <w:p w:rsidR="007F4ADF" w:rsidRDefault="007F4ADF" w:rsidP="00B810A1">
      <w:pPr>
        <w:ind w:firstLine="708"/>
        <w:contextualSpacing/>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Основним завданням законопроекту є визначення на законодавчому рівні особливостей справляння державного збору за кожного пасажира, який відлітає з аеропорту України, та за кожну тонну вантажу, що відправляється чи прибуває до аеропорту України.</w:t>
      </w:r>
    </w:p>
    <w:p w:rsidR="00B810A1" w:rsidRDefault="007F4ADF" w:rsidP="007F4ADF">
      <w:pPr>
        <w:ind w:firstLine="708"/>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Проектом Закону передбачається</w:t>
      </w:r>
      <w:r w:rsidRPr="007F4ADF">
        <w:rPr>
          <w:rFonts w:ascii="Times New Roman" w:eastAsia="Times New Roman" w:hAnsi="Times New Roman" w:cs="Times New Roman"/>
          <w:sz w:val="28"/>
          <w:szCs w:val="28"/>
        </w:rPr>
        <w:t xml:space="preserve"> закріплення у термінологічному </w:t>
      </w:r>
      <w:proofErr w:type="spellStart"/>
      <w:r w:rsidRPr="007F4ADF">
        <w:rPr>
          <w:rFonts w:ascii="Times New Roman" w:eastAsia="Times New Roman" w:hAnsi="Times New Roman" w:cs="Times New Roman"/>
          <w:sz w:val="28"/>
          <w:szCs w:val="28"/>
        </w:rPr>
        <w:t>апараті</w:t>
      </w:r>
      <w:proofErr w:type="spellEnd"/>
      <w:r w:rsidRPr="007F4ADF">
        <w:rPr>
          <w:rFonts w:ascii="Times New Roman" w:eastAsia="Times New Roman" w:hAnsi="Times New Roman" w:cs="Times New Roman"/>
          <w:sz w:val="28"/>
          <w:szCs w:val="28"/>
        </w:rPr>
        <w:t xml:space="preserve"> (стаття 1 Повітряного кодексу України) поняття «державний збір із суб’єкта авіаційної діяльності»; доповнення Повітряного кодексу України статтею 121, якою визначаються особливості справляння державного збору за кожного пасажира, який відлітає з аеропорту України, та за кожну тонну вантажу, що відправляється чи прибуває до аеропорту України; встановлення відповідальності за порушення порядку або строків сплати державних зборів із суб’єктів авіаційної діяльності, визначених цим Кодексом.</w:t>
      </w:r>
      <w:r w:rsidR="00B810A1" w:rsidRPr="00C07C55">
        <w:rPr>
          <w:rFonts w:ascii="Times New Roman" w:eastAsia="Times New Roman" w:hAnsi="Times New Roman" w:cs="Times New Roman"/>
          <w:sz w:val="28"/>
          <w:szCs w:val="28"/>
        </w:rPr>
        <w:t xml:space="preserve"> </w:t>
      </w:r>
    </w:p>
    <w:p w:rsidR="00B810A1" w:rsidRPr="00FC2578" w:rsidRDefault="00B810A1" w:rsidP="00B810A1">
      <w:pPr>
        <w:ind w:firstLine="708"/>
        <w:contextualSpacing/>
        <w:jc w:val="both"/>
        <w:rPr>
          <w:rFonts w:ascii="Times New Roman" w:eastAsia="Times New Roman" w:hAnsi="Times New Roman" w:cs="Times New Roman"/>
          <w:sz w:val="28"/>
          <w:szCs w:val="28"/>
        </w:rPr>
      </w:pPr>
      <w:r w:rsidRPr="00FC2578">
        <w:rPr>
          <w:rFonts w:ascii="Times New Roman" w:eastAsia="Times New Roman" w:hAnsi="Times New Roman" w:cs="Times New Roman"/>
          <w:sz w:val="28"/>
          <w:szCs w:val="28"/>
        </w:rPr>
        <w:t xml:space="preserve">Проект </w:t>
      </w:r>
      <w:proofErr w:type="spellStart"/>
      <w:r w:rsidRPr="00FC2578">
        <w:rPr>
          <w:rFonts w:ascii="Times New Roman" w:eastAsia="Times New Roman" w:hAnsi="Times New Roman" w:cs="Times New Roman"/>
          <w:sz w:val="28"/>
          <w:szCs w:val="28"/>
        </w:rPr>
        <w:t>акта</w:t>
      </w:r>
      <w:proofErr w:type="spellEnd"/>
      <w:r w:rsidRPr="00FC2578">
        <w:rPr>
          <w:rFonts w:ascii="Times New Roman" w:eastAsia="Times New Roman" w:hAnsi="Times New Roman" w:cs="Times New Roman"/>
          <w:sz w:val="28"/>
          <w:szCs w:val="28"/>
        </w:rPr>
        <w:t xml:space="preserve"> за предметом правового регулювання охоплюється зобов'язаннями у сфері європейської інтеграції, зокрема положеннями статті 368 Глави 7 «Транспорт»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згідно з якими </w:t>
      </w:r>
      <w:r w:rsidR="007F4ADF" w:rsidRPr="007F4ADF">
        <w:rPr>
          <w:rFonts w:ascii="Times New Roman" w:eastAsia="Times New Roman" w:hAnsi="Times New Roman" w:cs="Times New Roman"/>
          <w:sz w:val="28"/>
          <w:szCs w:val="28"/>
        </w:rPr>
        <w:t>співробітництво між Україною та ЄС спрямовується на покращення руху пасажирів та вантажів, зростання плинності транспортних потоків між Україною, ЄС і третіми країнами регіону за рахунок усунення адміністративних, технічних, прикордонних та інших перешкод, покращення транспортної мережі та модернізації інфраструктури, зокрема на головних транспортних осях, які з’єднуют</w:t>
      </w:r>
      <w:r w:rsidR="007F4ADF">
        <w:rPr>
          <w:rFonts w:ascii="Times New Roman" w:eastAsia="Times New Roman" w:hAnsi="Times New Roman" w:cs="Times New Roman"/>
          <w:sz w:val="28"/>
          <w:szCs w:val="28"/>
        </w:rPr>
        <w:t>ь Сторони</w:t>
      </w:r>
      <w:r w:rsidRPr="00FC2578">
        <w:rPr>
          <w:rFonts w:ascii="Times New Roman" w:eastAsia="Times New Roman" w:hAnsi="Times New Roman" w:cs="Times New Roman"/>
          <w:sz w:val="28"/>
          <w:szCs w:val="28"/>
        </w:rPr>
        <w:t xml:space="preserve">. </w:t>
      </w:r>
    </w:p>
    <w:p w:rsidR="00B810A1" w:rsidRPr="00C07C55" w:rsidRDefault="00B810A1" w:rsidP="00B810A1">
      <w:pPr>
        <w:pStyle w:val="a3"/>
        <w:numPr>
          <w:ilvl w:val="0"/>
          <w:numId w:val="1"/>
        </w:numPr>
        <w:jc w:val="both"/>
        <w:rPr>
          <w:rFonts w:ascii="Times New Roman" w:hAnsi="Times New Roman"/>
          <w:b/>
          <w:sz w:val="28"/>
        </w:rPr>
      </w:pPr>
      <w:r w:rsidRPr="00C07C55">
        <w:rPr>
          <w:rFonts w:ascii="Times New Roman" w:hAnsi="Times New Roman"/>
          <w:b/>
          <w:sz w:val="28"/>
        </w:rPr>
        <w:t>Політико – правове обґрунтування законопроекту:</w:t>
      </w:r>
    </w:p>
    <w:p w:rsidR="00B810A1" w:rsidRPr="00FC2578" w:rsidRDefault="00B810A1" w:rsidP="00B810A1">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FC2578">
        <w:rPr>
          <w:rFonts w:ascii="Times New Roman" w:eastAsia="Times New Roman" w:hAnsi="Times New Roman" w:cs="Times New Roman"/>
          <w:sz w:val="28"/>
          <w:szCs w:val="28"/>
        </w:rPr>
        <w:t xml:space="preserve">До нормативно-правових актів ЄС, що частково регулюють зазначену сферу належать: </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Конвенці</w:t>
      </w:r>
      <w:r>
        <w:rPr>
          <w:rFonts w:ascii="Times New Roman" w:eastAsia="Times New Roman" w:hAnsi="Times New Roman" w:cs="Times New Roman"/>
          <w:sz w:val="28"/>
          <w:szCs w:val="28"/>
        </w:rPr>
        <w:t>я</w:t>
      </w:r>
      <w:r w:rsidRPr="007F4ADF">
        <w:rPr>
          <w:rFonts w:ascii="Times New Roman" w:eastAsia="Times New Roman" w:hAnsi="Times New Roman" w:cs="Times New Roman"/>
          <w:sz w:val="28"/>
          <w:szCs w:val="28"/>
        </w:rPr>
        <w:t xml:space="preserve"> про міжнародну цивіл</w:t>
      </w:r>
      <w:r>
        <w:rPr>
          <w:rFonts w:ascii="Times New Roman" w:eastAsia="Times New Roman" w:hAnsi="Times New Roman" w:cs="Times New Roman"/>
          <w:sz w:val="28"/>
          <w:szCs w:val="28"/>
        </w:rPr>
        <w:t>ьну авіацію 1944 р. та стандарт</w:t>
      </w:r>
      <w:r w:rsidRPr="007F4ADF">
        <w:rPr>
          <w:rFonts w:ascii="Times New Roman" w:eastAsia="Times New Roman" w:hAnsi="Times New Roman" w:cs="Times New Roman"/>
          <w:sz w:val="28"/>
          <w:szCs w:val="28"/>
        </w:rPr>
        <w:t>и й рекомендован</w:t>
      </w:r>
      <w:r>
        <w:rPr>
          <w:rFonts w:ascii="Times New Roman" w:eastAsia="Times New Roman" w:hAnsi="Times New Roman" w:cs="Times New Roman"/>
          <w:sz w:val="28"/>
          <w:szCs w:val="28"/>
        </w:rPr>
        <w:t>а</w:t>
      </w:r>
      <w:r w:rsidRPr="007F4ADF">
        <w:rPr>
          <w:rFonts w:ascii="Times New Roman" w:eastAsia="Times New Roman" w:hAnsi="Times New Roman" w:cs="Times New Roman"/>
          <w:sz w:val="28"/>
          <w:szCs w:val="28"/>
        </w:rPr>
        <w:t xml:space="preserve"> практик</w:t>
      </w:r>
      <w:r>
        <w:rPr>
          <w:rFonts w:ascii="Times New Roman" w:eastAsia="Times New Roman" w:hAnsi="Times New Roman" w:cs="Times New Roman"/>
          <w:sz w:val="28"/>
          <w:szCs w:val="28"/>
        </w:rPr>
        <w:t>а</w:t>
      </w:r>
      <w:r w:rsidRPr="007F4ADF">
        <w:rPr>
          <w:rFonts w:ascii="Times New Roman" w:eastAsia="Times New Roman" w:hAnsi="Times New Roman" w:cs="Times New Roman"/>
          <w:sz w:val="28"/>
          <w:szCs w:val="28"/>
        </w:rPr>
        <w:t>, прийнят</w:t>
      </w:r>
      <w:r>
        <w:rPr>
          <w:rFonts w:ascii="Times New Roman" w:eastAsia="Times New Roman" w:hAnsi="Times New Roman" w:cs="Times New Roman"/>
          <w:sz w:val="28"/>
          <w:szCs w:val="28"/>
        </w:rPr>
        <w:t>а</w:t>
      </w:r>
      <w:r w:rsidRPr="007F4ADF">
        <w:rPr>
          <w:rFonts w:ascii="Times New Roman" w:eastAsia="Times New Roman" w:hAnsi="Times New Roman" w:cs="Times New Roman"/>
          <w:sz w:val="28"/>
          <w:szCs w:val="28"/>
        </w:rPr>
        <w:t xml:space="preserve"> Радою ІКАО;</w:t>
      </w:r>
    </w:p>
    <w:p w:rsid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Регламент</w:t>
      </w:r>
      <w:r w:rsidRPr="007F4ADF">
        <w:rPr>
          <w:rFonts w:ascii="Times New Roman" w:eastAsia="Times New Roman" w:hAnsi="Times New Roman" w:cs="Times New Roman"/>
          <w:sz w:val="28"/>
          <w:szCs w:val="28"/>
        </w:rPr>
        <w:t xml:space="preserve"> Європейського Парламенту та Ради 1008/2008 від 24 вересня 2008 року про загальні правила здійснення авіаперевезень у Співтоваристві (переглянута версія) (далі - Регламент (ЄС) 1008/2008).</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xml:space="preserve">Відповідно до положень статті 15 Конвенції про цивільну авіацію кожен аеропорт   у Договірній державі, відкритий для громадського користування її </w:t>
      </w:r>
      <w:r w:rsidRPr="007F4ADF">
        <w:rPr>
          <w:rFonts w:ascii="Times New Roman" w:eastAsia="Times New Roman" w:hAnsi="Times New Roman" w:cs="Times New Roman"/>
          <w:sz w:val="28"/>
          <w:szCs w:val="28"/>
        </w:rPr>
        <w:lastRenderedPageBreak/>
        <w:t>національними  повітряними суднами, відкритий також, з урахуванням положень Статті 68, на однакових умовах для повітряних суден усіх  інших Договірних держав. Інформація про всі аеропортові збори публікується і повідомляється Міжнародній організації цивільної  авіації, при цьому за заявою зацікавленої Договірної держави збори, що стягуються за користування аеропортами та іншими засобами, підлягають розгляду Радою,  яка представляє по них доповідь і дає рекомендації для розгляду зацікавленою державою або державами. Жодна Договірна держава не стягує будь-як</w:t>
      </w:r>
      <w:r>
        <w:rPr>
          <w:rFonts w:ascii="Times New Roman" w:eastAsia="Times New Roman" w:hAnsi="Times New Roman" w:cs="Times New Roman"/>
          <w:sz w:val="28"/>
          <w:szCs w:val="28"/>
        </w:rPr>
        <w:t>і</w:t>
      </w:r>
      <w:r w:rsidRPr="007F4ADF">
        <w:rPr>
          <w:rFonts w:ascii="Times New Roman" w:eastAsia="Times New Roman" w:hAnsi="Times New Roman" w:cs="Times New Roman"/>
          <w:sz w:val="28"/>
          <w:szCs w:val="28"/>
        </w:rPr>
        <w:t xml:space="preserve"> мита, податк</w:t>
      </w:r>
      <w:r>
        <w:rPr>
          <w:rFonts w:ascii="Times New Roman" w:eastAsia="Times New Roman" w:hAnsi="Times New Roman" w:cs="Times New Roman"/>
          <w:sz w:val="28"/>
          <w:szCs w:val="28"/>
        </w:rPr>
        <w:t>и</w:t>
      </w:r>
      <w:r w:rsidRPr="007F4ADF">
        <w:rPr>
          <w:rFonts w:ascii="Times New Roman" w:eastAsia="Times New Roman" w:hAnsi="Times New Roman" w:cs="Times New Roman"/>
          <w:sz w:val="28"/>
          <w:szCs w:val="28"/>
        </w:rPr>
        <w:t xml:space="preserve"> або інш</w:t>
      </w:r>
      <w:r>
        <w:rPr>
          <w:rFonts w:ascii="Times New Roman" w:eastAsia="Times New Roman" w:hAnsi="Times New Roman" w:cs="Times New Roman"/>
          <w:sz w:val="28"/>
          <w:szCs w:val="28"/>
        </w:rPr>
        <w:t>і</w:t>
      </w:r>
      <w:r w:rsidRPr="007F4ADF">
        <w:rPr>
          <w:rFonts w:ascii="Times New Roman" w:eastAsia="Times New Roman" w:hAnsi="Times New Roman" w:cs="Times New Roman"/>
          <w:sz w:val="28"/>
          <w:szCs w:val="28"/>
        </w:rPr>
        <w:t xml:space="preserve"> збор</w:t>
      </w:r>
      <w:r>
        <w:rPr>
          <w:rFonts w:ascii="Times New Roman" w:eastAsia="Times New Roman" w:hAnsi="Times New Roman" w:cs="Times New Roman"/>
          <w:sz w:val="28"/>
          <w:szCs w:val="28"/>
        </w:rPr>
        <w:t>и</w:t>
      </w:r>
      <w:r w:rsidRPr="007F4ADF">
        <w:rPr>
          <w:rFonts w:ascii="Times New Roman" w:eastAsia="Times New Roman" w:hAnsi="Times New Roman" w:cs="Times New Roman"/>
          <w:sz w:val="28"/>
          <w:szCs w:val="28"/>
        </w:rPr>
        <w:t xml:space="preserve">  лише за право транзиту через її територію або вліт на її територію, або вильоту з її території будь-якого повітряного судна Договірної держави або прису</w:t>
      </w:r>
      <w:r>
        <w:rPr>
          <w:rFonts w:ascii="Times New Roman" w:eastAsia="Times New Roman" w:hAnsi="Times New Roman" w:cs="Times New Roman"/>
          <w:sz w:val="28"/>
          <w:szCs w:val="28"/>
        </w:rPr>
        <w:t xml:space="preserve">тніх на ньому осіб, або майна. </w:t>
      </w:r>
      <w:r w:rsidRPr="007F4ADF">
        <w:rPr>
          <w:rFonts w:ascii="Times New Roman" w:eastAsia="Times New Roman" w:hAnsi="Times New Roman" w:cs="Times New Roman"/>
          <w:sz w:val="28"/>
          <w:szCs w:val="28"/>
        </w:rPr>
        <w:t xml:space="preserve"> </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У зв’язку з зазначеним необхідно зауважити, що відповідно до пункту 3 Розділу I Резолюції Ради щодо оподаткування міжнародного повітряного транспорту Політики ІКАО щодо  питань оподаткування у сфері міжнародного повітряного транспорту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8632) (далі -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8632), пов'язаних з </w:t>
      </w:r>
      <w:proofErr w:type="spellStart"/>
      <w:r w:rsidRPr="007F4ADF">
        <w:rPr>
          <w:rFonts w:ascii="Times New Roman" w:eastAsia="Times New Roman" w:hAnsi="Times New Roman" w:cs="Times New Roman"/>
          <w:sz w:val="28"/>
          <w:szCs w:val="28"/>
        </w:rPr>
        <w:t>продажем</w:t>
      </w:r>
      <w:proofErr w:type="spellEnd"/>
      <w:r w:rsidRPr="007F4ADF">
        <w:rPr>
          <w:rFonts w:ascii="Times New Roman" w:eastAsia="Times New Roman" w:hAnsi="Times New Roman" w:cs="Times New Roman"/>
          <w:sz w:val="28"/>
          <w:szCs w:val="28"/>
        </w:rPr>
        <w:t xml:space="preserve"> і використанням міжнародного повітряного транспорту: кожна Договірна держава в міру можливості скорочує всі види оподаткування, пов’язані з </w:t>
      </w:r>
      <w:proofErr w:type="spellStart"/>
      <w:r w:rsidRPr="007F4ADF">
        <w:rPr>
          <w:rFonts w:ascii="Times New Roman" w:eastAsia="Times New Roman" w:hAnsi="Times New Roman" w:cs="Times New Roman"/>
          <w:sz w:val="28"/>
          <w:szCs w:val="28"/>
        </w:rPr>
        <w:t>продажем</w:t>
      </w:r>
      <w:proofErr w:type="spellEnd"/>
      <w:r w:rsidRPr="007F4ADF">
        <w:rPr>
          <w:rFonts w:ascii="Times New Roman" w:eastAsia="Times New Roman" w:hAnsi="Times New Roman" w:cs="Times New Roman"/>
          <w:sz w:val="28"/>
          <w:szCs w:val="28"/>
        </w:rPr>
        <w:t xml:space="preserve"> або використанням міжнародного повітряного транспорту, включаючи податки на валову суму грошових надходжень експлуатантів і податки, що стягуються безпосередньо з пасажирів або вантажовідправників, і планує їх скасування, як тільки це дозволяють його економічні умови.</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Також відповідно до пунктів 13, 15 та 16  Розділу ІІ Роз’яснення до Резолюції Ради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8632) містяться такі твердження:</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xml:space="preserve">- стягнення податків, пов'язаних з </w:t>
      </w:r>
      <w:proofErr w:type="spellStart"/>
      <w:r w:rsidRPr="007F4ADF">
        <w:rPr>
          <w:rFonts w:ascii="Times New Roman" w:eastAsia="Times New Roman" w:hAnsi="Times New Roman" w:cs="Times New Roman"/>
          <w:sz w:val="28"/>
          <w:szCs w:val="28"/>
        </w:rPr>
        <w:t>продажем</w:t>
      </w:r>
      <w:proofErr w:type="spellEnd"/>
      <w:r w:rsidRPr="007F4ADF">
        <w:rPr>
          <w:rFonts w:ascii="Times New Roman" w:eastAsia="Times New Roman" w:hAnsi="Times New Roman" w:cs="Times New Roman"/>
          <w:sz w:val="28"/>
          <w:szCs w:val="28"/>
        </w:rPr>
        <w:t xml:space="preserve"> і використанням міжнародного повітряного транспорту, не відповідає сучасній тенденції до лібералізації і скорочення бар'єрів на шляху торгівлі товарами і послугами, оскільки такі податки можуть мати такий самий ефект або ті ж наслідки, що і експортні та імпортні тарифи. Широко визнано, що податки на продаж або використання міжнародного повітряного транспорту є причиною збільшення вартості, а також затримок і незручностей для мандрівників і торгових організацій, що користуються цим видом транспорту; </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xml:space="preserve">- податки, що стягуються з кожної відправки вантажу, прийнятті на борт або вивантаженні у міжнародному перевезенні, перешкоджають торгівлі цінними товарами або швидкопсувними продуктами там, де швидкість перевезення відіграє основну роль. Податки подібного характеру, наприклад на </w:t>
      </w:r>
      <w:proofErr w:type="spellStart"/>
      <w:r w:rsidRPr="007F4ADF">
        <w:rPr>
          <w:rFonts w:ascii="Times New Roman" w:eastAsia="Times New Roman" w:hAnsi="Times New Roman" w:cs="Times New Roman"/>
          <w:sz w:val="28"/>
          <w:szCs w:val="28"/>
        </w:rPr>
        <w:t>авіавантажній</w:t>
      </w:r>
      <w:proofErr w:type="spellEnd"/>
      <w:r w:rsidRPr="007F4ADF">
        <w:rPr>
          <w:rFonts w:ascii="Times New Roman" w:eastAsia="Times New Roman" w:hAnsi="Times New Roman" w:cs="Times New Roman"/>
          <w:sz w:val="28"/>
          <w:szCs w:val="28"/>
        </w:rPr>
        <w:t xml:space="preserve"> накладній, не слід, однак плутати з митами на ввезення товарів з-за кордону, які мають на меті впорядкування торгівлі і стягуються, де це може бути застосовано, незалежно від виду використовуваного транспорту; </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податки на продаж і споживання або податки на додану вартість (ПДВ), що стягуються з куплених квитків на міжнародний повітряний транспорт, підвищують вартість повітряного перевезення. Такі податки на продаж або споживання слід відрізняти від зборів за аеропортове або пасажирське обслуговування, які підпадають під визначення збору, розроблене ІКАО, і служать для відшкодування витрат на засоби або служби цивільної авіації.</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Відповідно до пункту Сфера застосування зборів та їх кількість Розділу І «Загальні положення» Політики ІКАО  щодо аеропортових зборів і зборів за аеронавігаційне обслуговування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9082) (далі -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9082) надано дві важливі </w:t>
      </w:r>
      <w:r w:rsidRPr="007F4ADF">
        <w:rPr>
          <w:rFonts w:ascii="Times New Roman" w:eastAsia="Times New Roman" w:hAnsi="Times New Roman" w:cs="Times New Roman"/>
          <w:sz w:val="28"/>
          <w:szCs w:val="28"/>
        </w:rPr>
        <w:lastRenderedPageBreak/>
        <w:t xml:space="preserve">рекомендації щодо зборів: 1) державам слід стягувати збори тільки за послуги і функції, які потрібні для міжнародної цивільної авіації; 2) державам слід утримуватися від справляння зборів, які ведуть до дискримінації міжнародної цивільної авіації в порівнянні з іншими видами міжнародного транспорту. </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xml:space="preserve">Пунктом 18 Розділу ІІ Роз’яснення до Резолюції Ради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8632 прокоментовано вищенаведене таким чином: «Якщо збори справляються за послуги і функції, що не належать до міжнародної цивільної авіації, то ці збори є фактично податками і підпадають під сферу застосування цієї резолюції.»</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9082 в свою чергу передбачає такі збори, щодо яких застосовується державне регулювання: посадкові збори (частиною цих зборів можуть бути збори за диспетчерське обслуговування підходу та аеродромне диспетчерське обслуговування, або справлятись окремо), збори за стоянку і використання ангарів, збори за обслуговування пасажирів, збори за забезпечення безпеки, збори, пов'язані з шумом, збори, пов'язані з авіаційною емісією, з метою вирішення проблем якості місцевого повітря в аеропортах або поблизу аеропортів, збори за аеронавігаційне обслуговування на маршруті.</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xml:space="preserve">Відповідно до пункту 6 «Збори за обслуговування пасажирів» </w:t>
      </w:r>
      <w:proofErr w:type="spellStart"/>
      <w:r w:rsidRPr="007F4ADF">
        <w:rPr>
          <w:rFonts w:ascii="Times New Roman" w:eastAsia="Times New Roman" w:hAnsi="Times New Roman" w:cs="Times New Roman"/>
          <w:sz w:val="28"/>
          <w:szCs w:val="28"/>
        </w:rPr>
        <w:t>Doc</w:t>
      </w:r>
      <w:proofErr w:type="spellEnd"/>
      <w:r w:rsidRPr="007F4ADF">
        <w:rPr>
          <w:rFonts w:ascii="Times New Roman" w:eastAsia="Times New Roman" w:hAnsi="Times New Roman" w:cs="Times New Roman"/>
          <w:sz w:val="28"/>
          <w:szCs w:val="28"/>
        </w:rPr>
        <w:t xml:space="preserve"> 9082 щоб уникнути утворення черг та затримок в аеропортах слід розглянути питання ефективності порядку справляння зборів за обслуговування пасажирів. У тих випадках, коли стягнення збору за обслуговування пасажирів безпосередньо з кожного пасажира в аеропорту створює проблеми спрощення формальностей, ці збори слід стягувати з залученням експлуатантів повітряних суден, якщо це практично можливо. Слід наголошувати на необхідності проведення консультацій між аеропортовими структурами і користувачами на місцевому рівні з метою вирішення проблем справляння зборів.</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Відповідно до статті 23 Регламенту (ЄС) 1008/2008  обов’язковою до оприлюднення є інформація щодо формування ціни на авіаперевезення. Остаточна ціна, яка підлягає сплаті, завжди повинна бути зазначена та включати в себе відповідну вартість авіаквитка або авіаперевезення, а також всі застосовні податки та збори, додаткові збори та стягнення, що є необхідними та передбачуваними на момент публікації. На додаток до визначення кінцевої ціни необхідно вказати принаймні таке:</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(а) - вартість проїзду або авіаперевезення;</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(b) - податки;</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(c) - аеропортові збори; і</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(d) - інші збори, доплати та збори, що пов'язані з безпекою або вартістю палива;</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 xml:space="preserve">там де пункти, перелічені в пунктах (b), (c) та (d), були додані до вартості </w:t>
      </w:r>
      <w:proofErr w:type="spellStart"/>
      <w:r w:rsidRPr="007F4ADF">
        <w:rPr>
          <w:rFonts w:ascii="Times New Roman" w:eastAsia="Times New Roman" w:hAnsi="Times New Roman" w:cs="Times New Roman"/>
          <w:sz w:val="28"/>
          <w:szCs w:val="28"/>
        </w:rPr>
        <w:t>авіаперельоту</w:t>
      </w:r>
      <w:proofErr w:type="spellEnd"/>
      <w:r w:rsidRPr="007F4ADF">
        <w:rPr>
          <w:rFonts w:ascii="Times New Roman" w:eastAsia="Times New Roman" w:hAnsi="Times New Roman" w:cs="Times New Roman"/>
          <w:sz w:val="28"/>
          <w:szCs w:val="28"/>
        </w:rPr>
        <w:t xml:space="preserve"> або авіаперевезення. Необов’язкові цінові доплати повідомляються чітко, прозоро та однозначно в початку будь-якого процесу бронювання, і їх прийняття замовником здійснюється на основі «погодження».</w:t>
      </w:r>
    </w:p>
    <w:p w:rsidR="007F4ADF" w:rsidRPr="007F4ADF" w:rsidRDefault="007F4ADF"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7F4ADF">
        <w:rPr>
          <w:rFonts w:ascii="Times New Roman" w:eastAsia="Times New Roman" w:hAnsi="Times New Roman" w:cs="Times New Roman"/>
          <w:sz w:val="28"/>
          <w:szCs w:val="28"/>
        </w:rPr>
        <w:t>Виходячи із зазначеного, збори за обслуговування пасажирів можуть бути джерелом надходжень до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Натомість, обов’язковість справляння збору за кожну тонну вантажу відповідно до Політик ІКАО та права ЄС не встановлено.</w:t>
      </w:r>
    </w:p>
    <w:p w:rsidR="00B810A1" w:rsidRPr="00C07C55" w:rsidRDefault="00D61CBA" w:rsidP="007F4ADF">
      <w:pPr>
        <w:tabs>
          <w:tab w:val="left" w:pos="1134"/>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Водночас, </w:t>
      </w:r>
      <w:r w:rsidRPr="00D61CBA">
        <w:rPr>
          <w:rFonts w:ascii="Times New Roman" w:eastAsia="Times New Roman" w:hAnsi="Times New Roman" w:cs="Times New Roman"/>
          <w:sz w:val="28"/>
          <w:szCs w:val="28"/>
        </w:rPr>
        <w:t xml:space="preserve"> з метою дотримання принципу «правової визначеності» варто врахувати зауваження Головного науково-експертного управління  щодо забезпечення </w:t>
      </w:r>
      <w:r>
        <w:rPr>
          <w:rFonts w:ascii="Times New Roman" w:eastAsia="Times New Roman" w:hAnsi="Times New Roman" w:cs="Times New Roman"/>
          <w:sz w:val="28"/>
          <w:szCs w:val="28"/>
        </w:rPr>
        <w:t xml:space="preserve">у проекті Закону </w:t>
      </w:r>
      <w:r w:rsidRPr="00D61CBA">
        <w:rPr>
          <w:rFonts w:ascii="Times New Roman" w:eastAsia="Times New Roman" w:hAnsi="Times New Roman" w:cs="Times New Roman"/>
          <w:sz w:val="28"/>
          <w:szCs w:val="28"/>
        </w:rPr>
        <w:t>термінологічної єдності</w:t>
      </w:r>
      <w:r>
        <w:rPr>
          <w:rFonts w:ascii="Times New Roman" w:eastAsia="Times New Roman" w:hAnsi="Times New Roman" w:cs="Times New Roman"/>
          <w:sz w:val="28"/>
          <w:szCs w:val="28"/>
        </w:rPr>
        <w:t xml:space="preserve">. Адже можливі </w:t>
      </w:r>
      <w:r w:rsidRPr="00D61CBA">
        <w:rPr>
          <w:rFonts w:ascii="Times New Roman" w:eastAsia="Times New Roman" w:hAnsi="Times New Roman" w:cs="Times New Roman"/>
          <w:sz w:val="28"/>
          <w:szCs w:val="28"/>
        </w:rPr>
        <w:t xml:space="preserve">прогалини у </w:t>
      </w:r>
      <w:r>
        <w:rPr>
          <w:rFonts w:ascii="Times New Roman" w:eastAsia="Times New Roman" w:hAnsi="Times New Roman" w:cs="Times New Roman"/>
          <w:sz w:val="28"/>
          <w:szCs w:val="28"/>
        </w:rPr>
        <w:t>оновленому законодавстві можуть</w:t>
      </w:r>
      <w:r w:rsidRPr="00D61CBA">
        <w:rPr>
          <w:rFonts w:ascii="Times New Roman" w:eastAsia="Times New Roman" w:hAnsi="Times New Roman" w:cs="Times New Roman"/>
          <w:sz w:val="28"/>
          <w:szCs w:val="28"/>
        </w:rPr>
        <w:t xml:space="preserve"> ста</w:t>
      </w:r>
      <w:r>
        <w:rPr>
          <w:rFonts w:ascii="Times New Roman" w:eastAsia="Times New Roman" w:hAnsi="Times New Roman" w:cs="Times New Roman"/>
          <w:sz w:val="28"/>
          <w:szCs w:val="28"/>
        </w:rPr>
        <w:t>т</w:t>
      </w:r>
      <w:r w:rsidRPr="00D61CBA">
        <w:rPr>
          <w:rFonts w:ascii="Times New Roman" w:eastAsia="Times New Roman" w:hAnsi="Times New Roman" w:cs="Times New Roman"/>
          <w:sz w:val="28"/>
          <w:szCs w:val="28"/>
        </w:rPr>
        <w:t xml:space="preserve">и </w:t>
      </w:r>
      <w:r>
        <w:rPr>
          <w:rFonts w:ascii="Times New Roman" w:eastAsia="Times New Roman" w:hAnsi="Times New Roman" w:cs="Times New Roman"/>
          <w:sz w:val="28"/>
          <w:szCs w:val="28"/>
        </w:rPr>
        <w:t xml:space="preserve">вчергове </w:t>
      </w:r>
      <w:r w:rsidRPr="00D61CBA">
        <w:rPr>
          <w:rFonts w:ascii="Times New Roman" w:eastAsia="Times New Roman" w:hAnsi="Times New Roman" w:cs="Times New Roman"/>
          <w:sz w:val="28"/>
          <w:szCs w:val="28"/>
        </w:rPr>
        <w:t>причиною прийняття на користь окремих авіаперевізників судових рішень</w:t>
      </w:r>
      <w:r>
        <w:rPr>
          <w:rFonts w:ascii="Times New Roman" w:eastAsia="Times New Roman" w:hAnsi="Times New Roman" w:cs="Times New Roman"/>
          <w:sz w:val="28"/>
          <w:szCs w:val="28"/>
        </w:rPr>
        <w:t>, які будуть суперечити інтересам держави.</w:t>
      </w:r>
      <w:r w:rsidR="00B810A1" w:rsidRPr="00C07C55">
        <w:rPr>
          <w:rFonts w:ascii="Times New Roman" w:eastAsia="Times New Roman" w:hAnsi="Times New Roman" w:cs="Times New Roman"/>
          <w:sz w:val="28"/>
          <w:szCs w:val="28"/>
        </w:rPr>
        <w:t xml:space="preserve">  </w:t>
      </w:r>
    </w:p>
    <w:p w:rsidR="007F4ADF" w:rsidRDefault="007F4ADF" w:rsidP="00B810A1">
      <w:pPr>
        <w:tabs>
          <w:tab w:val="left" w:pos="1134"/>
          <w:tab w:val="left" w:pos="1276"/>
        </w:tabs>
        <w:spacing w:after="0" w:line="240" w:lineRule="auto"/>
        <w:ind w:firstLine="709"/>
        <w:jc w:val="both"/>
        <w:rPr>
          <w:rFonts w:ascii="Times New Roman" w:hAnsi="Times New Roman" w:cs="Times New Roman"/>
          <w:b/>
          <w:sz w:val="28"/>
          <w:szCs w:val="28"/>
        </w:rPr>
      </w:pPr>
    </w:p>
    <w:p w:rsidR="00B810A1" w:rsidRPr="007F4ADF" w:rsidRDefault="00B810A1" w:rsidP="007F4ADF">
      <w:pPr>
        <w:tabs>
          <w:tab w:val="left" w:pos="1134"/>
          <w:tab w:val="left" w:pos="1276"/>
        </w:tabs>
        <w:spacing w:after="0" w:line="240" w:lineRule="auto"/>
        <w:ind w:firstLine="709"/>
        <w:jc w:val="both"/>
        <w:rPr>
          <w:rFonts w:ascii="Times New Roman" w:hAnsi="Times New Roman" w:cs="Times New Roman"/>
          <w:b/>
          <w:sz w:val="28"/>
          <w:szCs w:val="28"/>
        </w:rPr>
      </w:pPr>
      <w:r w:rsidRPr="00C07C55">
        <w:rPr>
          <w:rFonts w:ascii="Times New Roman" w:hAnsi="Times New Roman" w:cs="Times New Roman"/>
          <w:b/>
          <w:sz w:val="28"/>
          <w:szCs w:val="28"/>
        </w:rPr>
        <w:t>Висновок Комітету з питань інтеграції України з Європейським Союзом:</w:t>
      </w:r>
    </w:p>
    <w:p w:rsidR="00B810A1" w:rsidRDefault="00B810A1" w:rsidP="00B810A1">
      <w:pPr>
        <w:tabs>
          <w:tab w:val="left" w:pos="1134"/>
          <w:tab w:val="left" w:pos="1276"/>
        </w:tabs>
        <w:spacing w:after="0" w:line="240" w:lineRule="auto"/>
        <w:ind w:firstLine="709"/>
        <w:jc w:val="both"/>
        <w:rPr>
          <w:rFonts w:ascii="Times New Roman" w:eastAsia="Times New Roman" w:hAnsi="Times New Roman" w:cs="Times New Roman"/>
          <w:sz w:val="28"/>
          <w:szCs w:val="28"/>
        </w:rPr>
      </w:pPr>
      <w:r w:rsidRPr="00554E31">
        <w:rPr>
          <w:rFonts w:ascii="Times New Roman" w:eastAsia="Times New Roman" w:hAnsi="Times New Roman" w:cs="Times New Roman"/>
          <w:sz w:val="28"/>
          <w:szCs w:val="28"/>
        </w:rPr>
        <w:t>Проект Закону  за своєю метою не суперечить міжнародно</w:t>
      </w:r>
      <w:r>
        <w:rPr>
          <w:rFonts w:ascii="Times New Roman" w:eastAsia="Times New Roman" w:hAnsi="Times New Roman" w:cs="Times New Roman"/>
          <w:sz w:val="28"/>
          <w:szCs w:val="28"/>
        </w:rPr>
        <w:t>-правовим зобов’язанням України</w:t>
      </w:r>
      <w:r w:rsidR="007F4ADF">
        <w:rPr>
          <w:rFonts w:ascii="Times New Roman" w:eastAsia="Times New Roman" w:hAnsi="Times New Roman" w:cs="Times New Roman"/>
          <w:sz w:val="28"/>
          <w:szCs w:val="28"/>
        </w:rPr>
        <w:t xml:space="preserve"> та праву ЄС</w:t>
      </w:r>
      <w:r>
        <w:rPr>
          <w:rFonts w:ascii="Times New Roman" w:eastAsia="Times New Roman" w:hAnsi="Times New Roman" w:cs="Times New Roman"/>
          <w:sz w:val="28"/>
          <w:szCs w:val="28"/>
        </w:rPr>
        <w:t>.</w:t>
      </w:r>
    </w:p>
    <w:p w:rsidR="00B810A1" w:rsidRDefault="00B810A1" w:rsidP="00B810A1">
      <w:pPr>
        <w:tabs>
          <w:tab w:val="left" w:pos="1134"/>
          <w:tab w:val="left" w:pos="1276"/>
        </w:tabs>
        <w:spacing w:after="0" w:line="240" w:lineRule="auto"/>
        <w:ind w:firstLine="709"/>
        <w:jc w:val="both"/>
        <w:rPr>
          <w:rFonts w:ascii="Times New Roman" w:eastAsia="Times New Roman" w:hAnsi="Times New Roman" w:cs="Times New Roman"/>
          <w:sz w:val="28"/>
          <w:szCs w:val="28"/>
        </w:rPr>
      </w:pPr>
    </w:p>
    <w:p w:rsidR="00156303" w:rsidRDefault="00156303"/>
    <w:sectPr w:rsidR="001563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A2E7E"/>
    <w:multiLevelType w:val="hybridMultilevel"/>
    <w:tmpl w:val="DB7A834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FFC"/>
    <w:rsid w:val="00065364"/>
    <w:rsid w:val="00156303"/>
    <w:rsid w:val="00534734"/>
    <w:rsid w:val="007F4ADF"/>
    <w:rsid w:val="00A844F0"/>
    <w:rsid w:val="00B810A1"/>
    <w:rsid w:val="00C11FFC"/>
    <w:rsid w:val="00D61CBA"/>
    <w:rsid w:val="00EF07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5CB7A"/>
  <w15:chartTrackingRefBased/>
  <w15:docId w15:val="{B91EC0E0-C2AC-4D6D-BA32-C49C76E2F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0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1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6064</Words>
  <Characters>3457</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Ференс Богдан Володимирович</dc:creator>
  <cp:keywords/>
  <dc:description/>
  <cp:lastModifiedBy>Ференс Богдан Володимирович</cp:lastModifiedBy>
  <cp:revision>3</cp:revision>
  <dcterms:created xsi:type="dcterms:W3CDTF">2020-04-09T09:33:00Z</dcterms:created>
  <dcterms:modified xsi:type="dcterms:W3CDTF">2020-04-10T13:24:00Z</dcterms:modified>
</cp:coreProperties>
</file>