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4AF" w:rsidRDefault="00EE34AF">
      <w:pPr>
        <w:spacing w:after="0"/>
        <w:rPr>
          <w:rFonts w:ascii="Times New Roman" w:hAnsi="Times New Roman"/>
          <w:sz w:val="28"/>
          <w:szCs w:val="28"/>
        </w:rPr>
      </w:pPr>
    </w:p>
    <w:p w:rsidR="00EE34AF" w:rsidRDefault="00EE34AF">
      <w:pPr>
        <w:spacing w:after="0"/>
        <w:rPr>
          <w:rFonts w:ascii="Times New Roman" w:hAnsi="Times New Roman"/>
          <w:sz w:val="28"/>
          <w:szCs w:val="28"/>
        </w:rPr>
      </w:pPr>
    </w:p>
    <w:p w:rsidR="00EE34AF" w:rsidRDefault="00EE34AF">
      <w:pPr>
        <w:spacing w:after="0"/>
        <w:rPr>
          <w:rFonts w:ascii="Times New Roman" w:hAnsi="Times New Roman"/>
          <w:sz w:val="28"/>
          <w:szCs w:val="28"/>
          <w:lang w:val="en-US"/>
        </w:rPr>
      </w:pPr>
    </w:p>
    <w:p w:rsidR="00EE34AF" w:rsidRDefault="00EE34AF">
      <w:pPr>
        <w:spacing w:after="0"/>
        <w:rPr>
          <w:rFonts w:ascii="Times New Roman" w:hAnsi="Times New Roman"/>
          <w:sz w:val="28"/>
          <w:szCs w:val="28"/>
          <w:lang w:val="en-US"/>
        </w:rPr>
      </w:pPr>
    </w:p>
    <w:p w:rsidR="00EE34AF" w:rsidRDefault="00EE34AF">
      <w:pPr>
        <w:spacing w:after="0"/>
        <w:rPr>
          <w:rFonts w:ascii="Times New Roman" w:hAnsi="Times New Roman"/>
          <w:sz w:val="28"/>
          <w:szCs w:val="28"/>
          <w:lang w:val="en-US"/>
        </w:rPr>
      </w:pPr>
    </w:p>
    <w:p w:rsidR="00EE34AF" w:rsidRDefault="00EE34AF">
      <w:pPr>
        <w:spacing w:after="0"/>
        <w:rPr>
          <w:rFonts w:ascii="Times New Roman" w:hAnsi="Times New Roman"/>
          <w:sz w:val="28"/>
          <w:szCs w:val="28"/>
          <w:lang w:val="en-US"/>
        </w:rPr>
      </w:pPr>
    </w:p>
    <w:p w:rsidR="00EE34AF" w:rsidRDefault="00EE34AF">
      <w:pPr>
        <w:spacing w:after="0"/>
        <w:rPr>
          <w:rFonts w:ascii="Times New Roman" w:hAnsi="Times New Roman"/>
          <w:sz w:val="28"/>
          <w:szCs w:val="28"/>
          <w:lang w:val="en-US"/>
        </w:rPr>
      </w:pPr>
    </w:p>
    <w:p w:rsidR="00EE34AF" w:rsidRDefault="00EE34AF">
      <w:pPr>
        <w:spacing w:after="0"/>
        <w:rPr>
          <w:rFonts w:ascii="Times New Roman" w:hAnsi="Times New Roman"/>
          <w:sz w:val="28"/>
          <w:szCs w:val="28"/>
          <w:lang w:val="en-US"/>
        </w:rPr>
      </w:pPr>
    </w:p>
    <w:p w:rsidR="00EE34AF" w:rsidRDefault="00986C3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ВИСНОВОК</w:t>
      </w:r>
    </w:p>
    <w:p w:rsidR="00810DBE" w:rsidRDefault="00986C3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проект Закону України «Про внесення змін до деяких </w:t>
      </w:r>
    </w:p>
    <w:p w:rsidR="00EE34AF" w:rsidRDefault="00986C3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законодавчих актів України щодо вдосконалення правового регулювання виробництва хутра в Україні»</w:t>
      </w:r>
    </w:p>
    <w:p w:rsidR="00EE34AF" w:rsidRDefault="00EE34AF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E34AF" w:rsidRDefault="00986C30" w:rsidP="0009359D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Внесений законопроект є альтернативним за змістом (відповідно до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ч. 1 ст. 100 Регламенту Верховної Ради України) до </w:t>
      </w:r>
      <w:r>
        <w:rPr>
          <w:rFonts w:ascii="Times New Roman" w:hAnsi="Times New Roman"/>
          <w:bCs/>
          <w:sz w:val="28"/>
          <w:szCs w:val="28"/>
        </w:rPr>
        <w:t>проекту Закону України</w:t>
      </w:r>
      <w:r>
        <w:rPr>
          <w:rFonts w:ascii="Times New Roman" w:hAnsi="Times New Roman"/>
          <w:sz w:val="28"/>
          <w:szCs w:val="28"/>
        </w:rPr>
        <w:br/>
        <w:t>«Про внесення змін до деяких законодавчих актів України щодо вдосконалення правового регулювання хутрового виробництва в Україні»</w:t>
      </w:r>
      <w:r>
        <w:rPr>
          <w:rFonts w:ascii="Times New Roman" w:hAnsi="Times New Roman"/>
          <w:sz w:val="28"/>
          <w:szCs w:val="28"/>
        </w:rPr>
        <w:br/>
        <w:t>(реєстр. № 2360 від 31.10.2019). Метою альтернативно</w:t>
      </w:r>
      <w:r>
        <w:rPr>
          <w:rFonts w:ascii="Times New Roman" w:hAnsi="Times New Roman"/>
          <w:sz w:val="28"/>
          <w:szCs w:val="28"/>
        </w:rPr>
        <w:t>го законопроекту, як і основного, є 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вдосконалення правового регулювання виробництва хутра в Україні», а також «приведення законодавства України у сфері хутрового виробництва у відповідність з європейським законодавством» (п. 2 п</w:t>
      </w:r>
      <w:r>
        <w:rPr>
          <w:rFonts w:ascii="Times New Roman" w:hAnsi="Times New Roman"/>
          <w:sz w:val="28"/>
          <w:szCs w:val="28"/>
        </w:rPr>
        <w:t>ояснювальної записки до ньо</w:t>
      </w:r>
      <w:r>
        <w:rPr>
          <w:rFonts w:ascii="Times New Roman" w:hAnsi="Times New Roman"/>
          <w:sz w:val="28"/>
          <w:szCs w:val="28"/>
        </w:rPr>
        <w:t xml:space="preserve">го). При цьому зміни вносяться до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Кодексу України про адміністративні правопорушення, </w:t>
      </w:r>
      <w:r>
        <w:rPr>
          <w:rFonts w:ascii="Times New Roman" w:hAnsi="Times New Roman"/>
          <w:sz w:val="28"/>
          <w:szCs w:val="28"/>
        </w:rPr>
        <w:t>законів України «Про охорону навколишнього природного середовища»,  «Про оцінку впливу на довкілля», «Про захист тварин від жорстокого поводження». Відповідно до «Прикінц</w:t>
      </w:r>
      <w:r>
        <w:rPr>
          <w:rFonts w:ascii="Times New Roman" w:hAnsi="Times New Roman"/>
          <w:sz w:val="28"/>
          <w:szCs w:val="28"/>
        </w:rPr>
        <w:t xml:space="preserve">евих та перехідних положень» проекту Кабінет Міністрів України протягом одного року з дня його опублікування має «забезпечити розробку та прийняття Державної програми з розвитку виробництва хутра в Україні на період до </w:t>
      </w:r>
      <w:r w:rsidR="0009359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1 січня 2028 року». </w:t>
      </w:r>
    </w:p>
    <w:p w:rsidR="00EE34AF" w:rsidRDefault="00986C30">
      <w:pPr>
        <w:autoSpaceDE w:val="0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Головне управлін</w:t>
      </w:r>
      <w:r>
        <w:rPr>
          <w:rFonts w:ascii="Times New Roman" w:hAnsi="Times New Roman"/>
          <w:sz w:val="28"/>
          <w:szCs w:val="28"/>
        </w:rPr>
        <w:t xml:space="preserve">ня, проаналізувавши проект, зазначає, основною відмінністю внесеного проекту є те, що у ньому пропонується до </w:t>
      </w:r>
      <w:r>
        <w:rPr>
          <w:rFonts w:ascii="Times New Roman" w:hAnsi="Times New Roman"/>
          <w:sz w:val="28"/>
          <w:szCs w:val="28"/>
        </w:rPr>
        <w:br/>
        <w:t>1 січня 2023 року врегулювати «</w:t>
      </w:r>
      <w:r>
        <w:rPr>
          <w:rFonts w:ascii="Times New Roman" w:hAnsi="Times New Roman"/>
          <w:i/>
          <w:sz w:val="28"/>
          <w:szCs w:val="28"/>
        </w:rPr>
        <w:t>господарську діяльність</w:t>
      </w:r>
      <w:r>
        <w:rPr>
          <w:rFonts w:ascii="Times New Roman" w:hAnsi="Times New Roman"/>
          <w:sz w:val="28"/>
          <w:szCs w:val="28"/>
        </w:rPr>
        <w:t xml:space="preserve"> з розведення, вирощування та/або утримання хутрових тварин з метою виробництва хутра» у ві</w:t>
      </w:r>
      <w:r>
        <w:rPr>
          <w:rFonts w:ascii="Times New Roman" w:hAnsi="Times New Roman"/>
          <w:sz w:val="28"/>
          <w:szCs w:val="28"/>
        </w:rPr>
        <w:t xml:space="preserve">дповідність до «затверджених» вимог, а не заборонити </w:t>
      </w:r>
      <w:r>
        <w:rPr>
          <w:rFonts w:ascii="Times New Roman" w:hAnsi="Times New Roman"/>
          <w:i/>
          <w:sz w:val="28"/>
          <w:szCs w:val="28"/>
        </w:rPr>
        <w:t>підприємницьку діяльність</w:t>
      </w:r>
      <w:r>
        <w:rPr>
          <w:rFonts w:ascii="Times New Roman" w:hAnsi="Times New Roman"/>
          <w:sz w:val="28"/>
          <w:szCs w:val="28"/>
        </w:rPr>
        <w:t xml:space="preserve"> «з розведення, вирощування, утримання хутрових тварин з метою виробництва хутра», що передбачається у проекті реєстр. № 2360. Частина положень внесеного законопроекту повторює в</w:t>
      </w:r>
      <w:r>
        <w:rPr>
          <w:rFonts w:ascii="Times New Roman" w:hAnsi="Times New Roman"/>
          <w:sz w:val="28"/>
          <w:szCs w:val="28"/>
        </w:rPr>
        <w:t>ідповідні положення законопроекту реєстр. № 2360, тому до законопроекту реєстр. № 2360-1 можуть бути висловлені зауваження, викладені у висновку Головного управління до проекту реєстр. № 2360 (зокрема, щодо  ст. ст. 3 та 10 Закону України «Про охорону навк</w:t>
      </w:r>
      <w:r>
        <w:rPr>
          <w:rFonts w:ascii="Times New Roman" w:hAnsi="Times New Roman"/>
          <w:sz w:val="28"/>
          <w:szCs w:val="28"/>
        </w:rPr>
        <w:t xml:space="preserve">олишнього природного середовища»; до ст. 1 Закону України «Про захист тварин від жорстокого поводження» в частині </w:t>
      </w:r>
      <w:r>
        <w:rPr>
          <w:rFonts w:ascii="Times New Roman" w:hAnsi="Times New Roman"/>
          <w:sz w:val="28"/>
          <w:szCs w:val="28"/>
        </w:rPr>
        <w:lastRenderedPageBreak/>
        <w:t>визначення нового терміну «хутрові тварини»), а також деякі нові положення, що містяться лише у проекті реєстр. № 2360-1.</w:t>
      </w:r>
    </w:p>
    <w:p w:rsidR="00EE34AF" w:rsidRDefault="00986C30">
      <w:pPr>
        <w:spacing w:after="0" w:line="240" w:lineRule="auto"/>
        <w:ind w:firstLine="709"/>
        <w:jc w:val="both"/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Щодо змін до Зако</w:t>
      </w:r>
      <w:r>
        <w:rPr>
          <w:rFonts w:ascii="Times New Roman" w:hAnsi="Times New Roman"/>
          <w:sz w:val="28"/>
          <w:szCs w:val="28"/>
        </w:rPr>
        <w:t>ну України «Про захист тварин від жорстокого поводження» (далі – Закон).</w:t>
      </w:r>
    </w:p>
    <w:p w:rsidR="00EE34AF" w:rsidRDefault="00986C30">
      <w:pPr>
        <w:autoSpaceDE w:val="0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1.1. Звертаємо увагу, що у визначенні терміну «хутрові тварини» </w:t>
      </w:r>
      <w:r>
        <w:rPr>
          <w:rFonts w:ascii="Times New Roman" w:hAnsi="Times New Roman"/>
          <w:sz w:val="28"/>
          <w:szCs w:val="28"/>
        </w:rPr>
        <w:br/>
        <w:t>(ст. 1 Закону у редакції проекту) неприйнятним є віднесення хутрових тварин до «сільськогосподарських», як пропонуєтьс</w:t>
      </w:r>
      <w:r>
        <w:rPr>
          <w:rFonts w:ascii="Times New Roman" w:hAnsi="Times New Roman"/>
          <w:sz w:val="28"/>
          <w:szCs w:val="28"/>
        </w:rPr>
        <w:t>я у проекті. Відповідно до чинної ст. 1 Закону (</w:t>
      </w:r>
      <w:proofErr w:type="spellStart"/>
      <w:r>
        <w:rPr>
          <w:rFonts w:ascii="Times New Roman" w:hAnsi="Times New Roman"/>
          <w:sz w:val="28"/>
          <w:szCs w:val="28"/>
        </w:rPr>
        <w:t>абз</w:t>
      </w:r>
      <w:proofErr w:type="spellEnd"/>
      <w:r>
        <w:rPr>
          <w:rFonts w:ascii="Times New Roman" w:hAnsi="Times New Roman"/>
          <w:sz w:val="28"/>
          <w:szCs w:val="28"/>
        </w:rPr>
        <w:t xml:space="preserve">. 5 ч. 1) «сільськогосподарськими» є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тварини, що утримуються та розводяться людиною для отримання продуктів і сировини тваринного походження. Тобто сільськогосподарські тварини є продуктивними, тоді ж як </w:t>
      </w:r>
      <w:r>
        <w:rPr>
          <w:rFonts w:ascii="Times New Roman" w:hAnsi="Times New Roman"/>
          <w:sz w:val="28"/>
          <w:szCs w:val="28"/>
        </w:rPr>
        <w:t xml:space="preserve">до хутрових відносяться непродуктивні тварини, у тому числі й дикі, наприклад, лисиця. </w:t>
      </w:r>
    </w:p>
    <w:p w:rsidR="00EE34AF" w:rsidRDefault="00986C30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1.2.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У змінах до ст. 7 Закону зазначається про «центральний орган виконавчої влади, що забезпечує формування державної політики </w:t>
      </w:r>
      <w:r>
        <w:rPr>
          <w:rFonts w:ascii="Times New Roman" w:hAnsi="Times New Roman"/>
          <w:sz w:val="28"/>
          <w:szCs w:val="28"/>
          <w:u w:val="single"/>
        </w:rPr>
        <w:t>у сфері тваринництва</w:t>
      </w:r>
      <w:r>
        <w:rPr>
          <w:rFonts w:ascii="Times New Roman" w:hAnsi="Times New Roman"/>
          <w:sz w:val="28"/>
          <w:szCs w:val="28"/>
        </w:rPr>
        <w:t>», до компетенції я</w:t>
      </w:r>
      <w:r>
        <w:rPr>
          <w:rFonts w:ascii="Times New Roman" w:hAnsi="Times New Roman"/>
          <w:sz w:val="28"/>
          <w:szCs w:val="28"/>
        </w:rPr>
        <w:t xml:space="preserve">кого пропонується віднести визначення вимог до утримання окремих видів (категорій) тварин, зокрема, хутрових. Водночас, слід зауважити, що відповідно до ч. 1 ст. 21 та </w:t>
      </w:r>
      <w:proofErr w:type="spellStart"/>
      <w:r>
        <w:rPr>
          <w:rFonts w:ascii="Times New Roman" w:hAnsi="Times New Roman"/>
          <w:sz w:val="28"/>
          <w:szCs w:val="28"/>
        </w:rPr>
        <w:t>абз</w:t>
      </w:r>
      <w:proofErr w:type="spellEnd"/>
      <w:r>
        <w:rPr>
          <w:rFonts w:ascii="Times New Roman" w:hAnsi="Times New Roman"/>
          <w:sz w:val="28"/>
          <w:szCs w:val="28"/>
        </w:rPr>
        <w:t>. 5 ст. 30 Закону вимоги до порядку використання тварин у сільському господарстві; ро</w:t>
      </w:r>
      <w:r>
        <w:rPr>
          <w:rFonts w:ascii="Times New Roman" w:hAnsi="Times New Roman"/>
          <w:sz w:val="28"/>
          <w:szCs w:val="28"/>
        </w:rPr>
        <w:t xml:space="preserve">зробка та затвердження ветеринарно-санітарних вимог до утримання та розведення сільськогосподарських, диких тварин встановлюються центральним органом виконавчої влади, що забезпечує формування державної політики </w:t>
      </w:r>
      <w:r>
        <w:rPr>
          <w:rFonts w:ascii="Times New Roman" w:hAnsi="Times New Roman"/>
          <w:sz w:val="28"/>
          <w:szCs w:val="28"/>
          <w:u w:val="single"/>
        </w:rPr>
        <w:t>у сфері ветеринарної медицини, у сфері захис</w:t>
      </w:r>
      <w:r>
        <w:rPr>
          <w:rFonts w:ascii="Times New Roman" w:hAnsi="Times New Roman"/>
          <w:sz w:val="28"/>
          <w:szCs w:val="28"/>
          <w:u w:val="single"/>
        </w:rPr>
        <w:t>ту тварин від жорстокого поводження</w:t>
      </w:r>
      <w:r>
        <w:rPr>
          <w:rFonts w:ascii="Times New Roman" w:hAnsi="Times New Roman"/>
          <w:sz w:val="28"/>
          <w:szCs w:val="28"/>
        </w:rPr>
        <w:t>.</w:t>
      </w:r>
    </w:p>
    <w:p w:rsidR="00EE34AF" w:rsidRDefault="00986C30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Враховуючи наведене вище, аналогічне зауваження (щодо назви органу) стосується також змін до ст. ст. 3, 10 Закону України «Про охорону навколишнього природного середовища». </w:t>
      </w:r>
    </w:p>
    <w:p w:rsidR="00EE34AF" w:rsidRDefault="00986C3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Недостатньо обґрунтованими виглядають проп</w:t>
      </w:r>
      <w:r>
        <w:rPr>
          <w:rFonts w:ascii="Times New Roman" w:hAnsi="Times New Roman"/>
          <w:sz w:val="28"/>
          <w:szCs w:val="28"/>
        </w:rPr>
        <w:t>озиції до ст. 3 Закону України «Про оцінку впливу на довкілля» (</w:t>
      </w:r>
      <w:proofErr w:type="spellStart"/>
      <w:r>
        <w:rPr>
          <w:rFonts w:ascii="Times New Roman" w:hAnsi="Times New Roman"/>
          <w:sz w:val="28"/>
          <w:szCs w:val="28"/>
        </w:rPr>
        <w:t>абз</w:t>
      </w:r>
      <w:proofErr w:type="spellEnd"/>
      <w:r>
        <w:rPr>
          <w:rFonts w:ascii="Times New Roman" w:hAnsi="Times New Roman"/>
          <w:sz w:val="28"/>
          <w:szCs w:val="28"/>
        </w:rPr>
        <w:t xml:space="preserve">. 5 п. 2 ч. 3), відповідно до яких потужності для вирощування хутрових тварин (більше 1 тисяча голів основного стада) віднесені до другої категорії видів планованої діяльності та об’єктів, </w:t>
      </w:r>
      <w:r>
        <w:rPr>
          <w:rFonts w:ascii="Times New Roman" w:hAnsi="Times New Roman"/>
          <w:sz w:val="28"/>
          <w:szCs w:val="28"/>
        </w:rPr>
        <w:t>які можуть мати значний вплив на довкілля та підлягають оцінці впливу на довкілля. У чинній редакції відповідної норми до цієї категорії віднесено потужності для вирощування хутрових тварин (2 тисячі голів і більше). Звертаємо увагу, що у пояснювальній зап</w:t>
      </w:r>
      <w:r>
        <w:rPr>
          <w:rFonts w:ascii="Times New Roman" w:hAnsi="Times New Roman"/>
          <w:sz w:val="28"/>
          <w:szCs w:val="28"/>
        </w:rPr>
        <w:t>исці до проекту відсутнє обґрунтування щодо відповідного зменшення кількості голів у зазначеній позиції. Крім того, у зазначених  змінах використовується поняття «основне стадо», визначення якого є незрозумілим у контексті змін. При цьому, обґрунтування що</w:t>
      </w:r>
      <w:r>
        <w:rPr>
          <w:rFonts w:ascii="Times New Roman" w:hAnsi="Times New Roman"/>
          <w:sz w:val="28"/>
          <w:szCs w:val="28"/>
        </w:rPr>
        <w:t>до використання такого поняття також відсутнє й у пояснювальній записці до проекту.</w:t>
      </w:r>
    </w:p>
    <w:p w:rsidR="00EE34AF" w:rsidRDefault="00986C30">
      <w:pPr>
        <w:pStyle w:val="a8"/>
        <w:spacing w:before="0" w:after="0"/>
        <w:ind w:firstLine="709"/>
        <w:jc w:val="both"/>
        <w:rPr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3. </w:t>
      </w:r>
      <w:r>
        <w:rPr>
          <w:bCs/>
          <w:iCs/>
          <w:color w:val="000000"/>
          <w:sz w:val="28"/>
          <w:szCs w:val="28"/>
          <w:lang w:val="uk-UA"/>
        </w:rPr>
        <w:t>Щодо змін до Кодексу України про адміністративні правопорушення (далі – КУпАП). </w:t>
      </w:r>
    </w:p>
    <w:p w:rsidR="00EE34AF" w:rsidRDefault="00986C30">
      <w:pPr>
        <w:pStyle w:val="a8"/>
        <w:spacing w:before="0" w:after="0"/>
        <w:ind w:firstLine="709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3.1. У законопроекті пропонується підвищити розміри штрафів за жорстоке поводження з тваринами у санкціях ч. ч. 1, 2 ст. 89 КУпАП з мінімального у </w:t>
      </w:r>
      <w:r>
        <w:rPr>
          <w:i/>
          <w:iCs/>
          <w:color w:val="000000"/>
          <w:sz w:val="28"/>
          <w:szCs w:val="28"/>
          <w:lang w:val="uk-UA"/>
        </w:rPr>
        <w:t>двісті</w:t>
      </w:r>
      <w:r>
        <w:rPr>
          <w:color w:val="000000"/>
          <w:sz w:val="28"/>
          <w:szCs w:val="28"/>
          <w:lang w:val="uk-UA"/>
        </w:rPr>
        <w:t xml:space="preserve"> неоподатковуваних мінімумів доходів громадян </w:t>
      </w:r>
      <w:r>
        <w:rPr>
          <w:color w:val="000000"/>
          <w:sz w:val="28"/>
          <w:szCs w:val="28"/>
          <w:lang w:val="uk-UA"/>
        </w:rPr>
        <w:br/>
        <w:t xml:space="preserve">(3400 грн.) та максимального  у </w:t>
      </w:r>
      <w:r>
        <w:rPr>
          <w:i/>
          <w:iCs/>
          <w:color w:val="000000"/>
          <w:sz w:val="28"/>
          <w:szCs w:val="28"/>
          <w:lang w:val="uk-UA"/>
        </w:rPr>
        <w:t>п’ятсот</w:t>
      </w:r>
      <w:r>
        <w:rPr>
          <w:color w:val="000000"/>
          <w:sz w:val="28"/>
          <w:szCs w:val="28"/>
          <w:lang w:val="uk-UA"/>
        </w:rPr>
        <w:t xml:space="preserve"> неоподатковувани</w:t>
      </w:r>
      <w:r>
        <w:rPr>
          <w:color w:val="000000"/>
          <w:sz w:val="28"/>
          <w:szCs w:val="28"/>
          <w:lang w:val="uk-UA"/>
        </w:rPr>
        <w:t xml:space="preserve">х мінімумів доходів громадян (8500 грн.) – до </w:t>
      </w:r>
      <w:r>
        <w:rPr>
          <w:i/>
          <w:iCs/>
          <w:color w:val="000000"/>
          <w:sz w:val="28"/>
          <w:szCs w:val="28"/>
          <w:u w:val="single"/>
          <w:lang w:val="uk-UA"/>
        </w:rPr>
        <w:t>трьохсот та семисот</w:t>
      </w:r>
      <w:r>
        <w:rPr>
          <w:color w:val="000000"/>
          <w:sz w:val="28"/>
          <w:szCs w:val="28"/>
          <w:lang w:val="uk-UA"/>
        </w:rPr>
        <w:t xml:space="preserve"> неоподатковуваних мінімумів доходів громадян відповідно (від 5100 грн. до 11900 грн.). </w:t>
      </w:r>
    </w:p>
    <w:p w:rsidR="00EE34AF" w:rsidRDefault="00986C30">
      <w:pPr>
        <w:pStyle w:val="a8"/>
        <w:spacing w:before="0" w:after="0"/>
        <w:ind w:firstLine="709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>Хоча запропоновані розміри штрафу не створюють конкуренції з положеннями санкцій ст. 299 Кримінального</w:t>
      </w:r>
      <w:r>
        <w:rPr>
          <w:color w:val="000000"/>
          <w:sz w:val="28"/>
          <w:szCs w:val="28"/>
          <w:lang w:val="uk-UA"/>
        </w:rPr>
        <w:t xml:space="preserve"> кодексу України, якою передбачена кримінальна відповідальність за жорстоке поводження з тваринами, однак у пояснювальній записці до законопроекту не наведено жодних аргументів на користь посилення адміністративної відповідальності за відповідні діяння, що</w:t>
      </w:r>
      <w:r>
        <w:rPr>
          <w:color w:val="000000"/>
          <w:sz w:val="28"/>
          <w:szCs w:val="28"/>
          <w:lang w:val="uk-UA"/>
        </w:rPr>
        <w:t xml:space="preserve"> суперечить вимогам, встановлених у п. 1 ч. 1 ст. 91 Регламенту Верховної Ради України.</w:t>
      </w:r>
    </w:p>
    <w:p w:rsidR="00EE34AF" w:rsidRDefault="00986C30">
      <w:pPr>
        <w:pStyle w:val="a8"/>
        <w:spacing w:before="0" w:after="0"/>
        <w:ind w:firstLine="709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3.2. У пояснювальній записці до законопроекту вказується, що його положеннями пропонується, серед іншого, підвищення відповідальності за діяння, пов’язані з діяльністю </w:t>
      </w:r>
      <w:r>
        <w:rPr>
          <w:color w:val="000000"/>
          <w:sz w:val="28"/>
          <w:szCs w:val="28"/>
          <w:lang w:val="uk-UA"/>
        </w:rPr>
        <w:t>щодо виробництва хутра, в тому числі, за прояви негуманного ставлення до тварин і заподіяння тяжких наслідків такої діяльності для людей. Однак посилення адміністративної відповідальності може досягатись не тільки збільшенням розміру штрафу за вчинення пра</w:t>
      </w:r>
      <w:r>
        <w:rPr>
          <w:color w:val="000000"/>
          <w:sz w:val="28"/>
          <w:szCs w:val="28"/>
          <w:lang w:val="uk-UA"/>
        </w:rPr>
        <w:t>вопорушення, а й дотриманням принципу невідворотності стягнення. </w:t>
      </w:r>
    </w:p>
    <w:p w:rsidR="00EE34AF" w:rsidRDefault="00986C30">
      <w:pPr>
        <w:pStyle w:val="a8"/>
        <w:spacing w:before="0" w:after="0"/>
        <w:ind w:firstLine="709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>Так, за даними Державної служби статистики, кількість накладених стягнень за правопорушення, передбачені ст. 89 КУпАП, складає всього 27 випадків. У такій ситуації сумнівним видається пропоз</w:t>
      </w:r>
      <w:r>
        <w:rPr>
          <w:color w:val="000000"/>
          <w:sz w:val="28"/>
          <w:szCs w:val="28"/>
          <w:lang w:val="uk-UA"/>
        </w:rPr>
        <w:t>иція щодо подальшого збільшення розміру штрафу у санкціях ст. 89 КУпАП.</w:t>
      </w:r>
    </w:p>
    <w:p w:rsidR="00EE34AF" w:rsidRDefault="00986C30" w:rsidP="001C4EFC">
      <w:pPr>
        <w:pStyle w:val="a8"/>
        <w:tabs>
          <w:tab w:val="left" w:pos="1985"/>
        </w:tabs>
        <w:spacing w:before="0" w:after="0"/>
        <w:ind w:firstLine="709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3.3. Принагідно також звертаємо увагу, що у разі внесення змін до санкцій ч. ч. 1, 2 ст. 89 КУпАП, відповідного законодавчого втручання потребує також санкція ч. 3 даної статті. Зокрема, наразі відповідно до ч. 3 </w:t>
      </w:r>
      <w:r w:rsidR="001C4EFC">
        <w:rPr>
          <w:color w:val="000000"/>
          <w:sz w:val="28"/>
          <w:szCs w:val="28"/>
          <w:lang w:val="uk-UA"/>
        </w:rPr>
        <w:br/>
      </w:r>
      <w:r>
        <w:rPr>
          <w:color w:val="000000"/>
          <w:sz w:val="28"/>
          <w:szCs w:val="28"/>
          <w:lang w:val="uk-UA"/>
        </w:rPr>
        <w:t>ст. 89 КУпАП насильницькі дії стосовно твар</w:t>
      </w:r>
      <w:r>
        <w:rPr>
          <w:color w:val="000000"/>
          <w:sz w:val="28"/>
          <w:szCs w:val="28"/>
          <w:lang w:val="uk-UA"/>
        </w:rPr>
        <w:t xml:space="preserve">ин, спрямовані на задоволення статевої пристрасті, тягнуть за собою накладення штрафу </w:t>
      </w:r>
      <w:r>
        <w:rPr>
          <w:i/>
          <w:iCs/>
          <w:color w:val="000000"/>
          <w:sz w:val="28"/>
          <w:szCs w:val="28"/>
          <w:lang w:val="uk-UA"/>
        </w:rPr>
        <w:t>від двохсот до п’ятисот неоподатковуваних мінімумів доходів громадян</w:t>
      </w:r>
      <w:r>
        <w:rPr>
          <w:color w:val="000000"/>
          <w:sz w:val="28"/>
          <w:szCs w:val="28"/>
          <w:lang w:val="uk-UA"/>
        </w:rPr>
        <w:t xml:space="preserve"> з конфіскацією тварини, якщо перебування тварини у власника становить загрозу для її життя або здоров</w:t>
      </w:r>
      <w:r>
        <w:rPr>
          <w:color w:val="000000"/>
          <w:sz w:val="28"/>
          <w:szCs w:val="28"/>
          <w:lang w:val="uk-UA"/>
        </w:rPr>
        <w:t>’я. У протилежному випадку, порушиться один із основних принципів законодавства про адміністративні правопорушення – принцип співмірності рівня суспільної шкідливості відповідного діяння виду та (або) розміру стягнення за його вчинення.  </w:t>
      </w:r>
    </w:p>
    <w:p w:rsidR="00EE34AF" w:rsidRDefault="00EE34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E34AF" w:rsidRDefault="00986C3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Узагальнюючий ви</w:t>
      </w:r>
      <w:r>
        <w:rPr>
          <w:rFonts w:ascii="Times New Roman" w:hAnsi="Times New Roman"/>
          <w:sz w:val="28"/>
          <w:szCs w:val="28"/>
        </w:rPr>
        <w:t>сновок: за результатами розгляду у першому читанні законопроект підлягає суттєвому доопрацюванню.</w:t>
      </w:r>
    </w:p>
    <w:p w:rsidR="00EE34AF" w:rsidRDefault="00EE34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E34AF" w:rsidRDefault="00EE34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E34AF" w:rsidRDefault="00986C30">
      <w:pPr>
        <w:spacing w:after="0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Керівник Головного управління                                                С. </w:t>
      </w:r>
      <w:proofErr w:type="spellStart"/>
      <w:r>
        <w:rPr>
          <w:rFonts w:ascii="Times New Roman" w:hAnsi="Times New Roman"/>
          <w:sz w:val="28"/>
          <w:szCs w:val="28"/>
        </w:rPr>
        <w:t>Тихонюк</w:t>
      </w:r>
      <w:proofErr w:type="spellEnd"/>
    </w:p>
    <w:p w:rsidR="00EE34AF" w:rsidRDefault="00EE34A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E34AF" w:rsidRDefault="00EE34A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E34AF" w:rsidRDefault="00986C3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0"/>
          <w:szCs w:val="20"/>
        </w:rPr>
        <w:t>Вик</w:t>
      </w:r>
      <w:proofErr w:type="spellEnd"/>
      <w:r>
        <w:rPr>
          <w:rFonts w:ascii="Times New Roman" w:hAnsi="Times New Roman"/>
          <w:sz w:val="20"/>
          <w:szCs w:val="20"/>
        </w:rPr>
        <w:t xml:space="preserve">.: А. </w:t>
      </w:r>
      <w:proofErr w:type="spellStart"/>
      <w:r>
        <w:rPr>
          <w:rFonts w:ascii="Times New Roman" w:hAnsi="Times New Roman"/>
          <w:sz w:val="20"/>
          <w:szCs w:val="20"/>
        </w:rPr>
        <w:t>Мусаєва</w:t>
      </w:r>
      <w:proofErr w:type="spellEnd"/>
      <w:r>
        <w:rPr>
          <w:rFonts w:ascii="Times New Roman" w:hAnsi="Times New Roman"/>
          <w:sz w:val="20"/>
          <w:szCs w:val="20"/>
        </w:rPr>
        <w:t>, Т</w:t>
      </w:r>
      <w:r>
        <w:rPr>
          <w:rFonts w:ascii="Times New Roman" w:hAnsi="Times New Roman"/>
          <w:color w:val="000000"/>
          <w:sz w:val="20"/>
          <w:szCs w:val="20"/>
        </w:rPr>
        <w:t xml:space="preserve">. </w:t>
      </w:r>
      <w:proofErr w:type="spellStart"/>
      <w:r>
        <w:rPr>
          <w:rFonts w:ascii="Times New Roman" w:hAnsi="Times New Roman"/>
          <w:color w:val="000000"/>
          <w:sz w:val="20"/>
          <w:szCs w:val="20"/>
        </w:rPr>
        <w:t>Ругаєва</w:t>
      </w:r>
      <w:proofErr w:type="spellEnd"/>
    </w:p>
    <w:sectPr w:rsidR="00EE34AF">
      <w:headerReference w:type="default" r:id="rId6"/>
      <w:headerReference w:type="first" r:id="rId7"/>
      <w:pgSz w:w="11906" w:h="16838"/>
      <w:pgMar w:top="1134" w:right="851" w:bottom="1134" w:left="1701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86C30">
      <w:pPr>
        <w:spacing w:after="0" w:line="240" w:lineRule="auto"/>
      </w:pPr>
      <w:r>
        <w:separator/>
      </w:r>
    </w:p>
  </w:endnote>
  <w:endnote w:type="continuationSeparator" w:id="0">
    <w:p w:rsidR="00000000" w:rsidRDefault="00986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86C30">
      <w:pPr>
        <w:spacing w:after="0" w:line="240" w:lineRule="auto"/>
      </w:pPr>
      <w:r>
        <w:separator/>
      </w:r>
    </w:p>
  </w:footnote>
  <w:footnote w:type="continuationSeparator" w:id="0">
    <w:p w:rsidR="00000000" w:rsidRDefault="00986C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4AF" w:rsidRDefault="00986C30">
    <w:pPr>
      <w:pStyle w:val="a6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3</w:t>
    </w:r>
    <w:r>
      <w:fldChar w:fldCharType="end"/>
    </w:r>
  </w:p>
  <w:p w:rsidR="00EE34AF" w:rsidRDefault="00EE34AF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4AF" w:rsidRDefault="00986C30">
    <w:pPr>
      <w:pStyle w:val="a6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До реєстр. № 2360-1 від 14.11.2019</w:t>
    </w:r>
  </w:p>
  <w:p w:rsidR="00EE34AF" w:rsidRDefault="00986C30">
    <w:pPr>
      <w:pStyle w:val="a6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Народні депутати України</w:t>
    </w:r>
  </w:p>
  <w:p w:rsidR="00EE34AF" w:rsidRDefault="00986C30">
    <w:pPr>
      <w:pStyle w:val="a6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О. Тарасов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4AF"/>
    <w:rsid w:val="0009359D"/>
    <w:rsid w:val="001C4EFC"/>
    <w:rsid w:val="00810DBE"/>
    <w:rsid w:val="00986C30"/>
    <w:rsid w:val="00C85181"/>
    <w:rsid w:val="00EE34AF"/>
    <w:rsid w:val="00FA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FD64D"/>
  <w15:docId w15:val="{FF967754-4E75-4128-A27E-A6D28B66B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Micro Hei" w:hAnsi="Liberation Serif" w:cs="Noto Sans Devanagari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6" w:lineRule="auto"/>
    </w:pPr>
    <w:rPr>
      <w:rFonts w:ascii="Calibri" w:eastAsia="Calibri" w:hAnsi="Calibri" w:cs="Times New Roman"/>
      <w:sz w:val="22"/>
      <w:szCs w:val="22"/>
      <w:lang w:val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Char">
    <w:name w:val="Header Char"/>
    <w:basedOn w:val="a0"/>
    <w:qFormat/>
  </w:style>
  <w:style w:type="character" w:customStyle="1" w:styleId="FooterChar">
    <w:name w:val="Footer Char"/>
    <w:basedOn w:val="a0"/>
    <w:qFormat/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Liberation Sans" w:eastAsia="WenQuanYi Micro Hei" w:hAnsi="Liberation Sans" w:cs="Noto Sans Devanagari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  <w:rPr>
      <w:rFonts w:cs="Noto Sans Devanagari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986"/>
        <w:tab w:val="right" w:pos="9972"/>
      </w:tabs>
    </w:pPr>
  </w:style>
  <w:style w:type="paragraph" w:styleId="a6">
    <w:name w:val="header"/>
    <w:basedOn w:val="a"/>
    <w:pPr>
      <w:spacing w:after="0" w:line="240" w:lineRule="auto"/>
    </w:pPr>
  </w:style>
  <w:style w:type="paragraph" w:styleId="a7">
    <w:name w:val="footer"/>
    <w:basedOn w:val="a"/>
    <w:pPr>
      <w:spacing w:after="0" w:line="240" w:lineRule="auto"/>
    </w:pPr>
  </w:style>
  <w:style w:type="paragraph" w:styleId="a8">
    <w:name w:val="Normal (Web)"/>
    <w:basedOn w:val="a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810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810DBE"/>
    <w:rPr>
      <w:rFonts w:ascii="Segoe UI" w:eastAsia="Calibri" w:hAnsi="Segoe UI" w:cs="Segoe UI"/>
      <w:sz w:val="18"/>
      <w:szCs w:val="18"/>
      <w:lang w:val="uk-U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4682</Words>
  <Characters>2669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serg</dc:creator>
  <dc:description/>
  <cp:lastModifiedBy>Лопотуха Інна Григорівна</cp:lastModifiedBy>
  <cp:revision>8</cp:revision>
  <cp:lastPrinted>2020-03-24T19:50:00Z</cp:lastPrinted>
  <dcterms:created xsi:type="dcterms:W3CDTF">2020-03-24T19:46:00Z</dcterms:created>
  <dcterms:modified xsi:type="dcterms:W3CDTF">2020-03-24T19:52:00Z</dcterms:modified>
  <dc:language>en-US</dc:language>
</cp:coreProperties>
</file>