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73D" w:rsidRPr="00B140B4" w:rsidRDefault="00B8073D" w:rsidP="00B8073D">
      <w:pPr>
        <w:ind w:firstLine="567"/>
        <w:jc w:val="center"/>
        <w:outlineLvl w:val="4"/>
        <w:rPr>
          <w:b/>
          <w:bCs/>
        </w:rPr>
      </w:pPr>
      <w:r w:rsidRPr="00B140B4">
        <w:rPr>
          <w:b/>
          <w:bCs/>
        </w:rPr>
        <w:t>ВИСНОВОК</w:t>
      </w:r>
    </w:p>
    <w:p w:rsidR="00B8073D" w:rsidRPr="00B140B4" w:rsidRDefault="00B8073D" w:rsidP="00B8073D">
      <w:pPr>
        <w:ind w:firstLine="567"/>
        <w:jc w:val="center"/>
        <w:outlineLvl w:val="4"/>
        <w:rPr>
          <w:b/>
        </w:rPr>
      </w:pPr>
      <w:r w:rsidRPr="00B140B4">
        <w:rPr>
          <w:b/>
          <w:bCs/>
        </w:rPr>
        <w:t>Комітету Верховної Ради України з питань</w:t>
      </w:r>
      <w:r w:rsidRPr="00B140B4">
        <w:rPr>
          <w:b/>
        </w:rPr>
        <w:t xml:space="preserve"> інтеграції України з Європейським Союзом щодо проекту Закону України </w:t>
      </w:r>
    </w:p>
    <w:p w:rsidR="00B8073D" w:rsidRPr="00B140B4" w:rsidRDefault="00B8073D" w:rsidP="00B8073D">
      <w:pPr>
        <w:ind w:firstLine="567"/>
        <w:jc w:val="center"/>
        <w:outlineLvl w:val="4"/>
        <w:rPr>
          <w:b/>
        </w:rPr>
      </w:pPr>
      <w:r w:rsidRPr="00B140B4">
        <w:rPr>
          <w:b/>
        </w:rPr>
        <w:t xml:space="preserve">«Про внесення змін до деяких законодавчих актів України щодо вдосконалення правового регулювання </w:t>
      </w:r>
      <w:r w:rsidR="00456CD7" w:rsidRPr="00B140B4">
        <w:rPr>
          <w:b/>
        </w:rPr>
        <w:t>виробництва хутра</w:t>
      </w:r>
      <w:r w:rsidRPr="00B140B4">
        <w:rPr>
          <w:b/>
        </w:rPr>
        <w:t xml:space="preserve"> в Україні» </w:t>
      </w:r>
    </w:p>
    <w:p w:rsidR="00B8073D" w:rsidRPr="00B140B4" w:rsidRDefault="00B8073D" w:rsidP="00B8073D">
      <w:pPr>
        <w:ind w:firstLine="567"/>
        <w:jc w:val="center"/>
        <w:outlineLvl w:val="4"/>
        <w:rPr>
          <w:b/>
        </w:rPr>
      </w:pPr>
      <w:r w:rsidRPr="00B140B4">
        <w:rPr>
          <w:b/>
        </w:rPr>
        <w:t xml:space="preserve">(реєстр. № 2360-1 від 14.11.2019 р., </w:t>
      </w:r>
      <w:proofErr w:type="spellStart"/>
      <w:r w:rsidRPr="00B140B4">
        <w:rPr>
          <w:b/>
        </w:rPr>
        <w:t>н.д</w:t>
      </w:r>
      <w:proofErr w:type="spellEnd"/>
      <w:r w:rsidRPr="00B140B4">
        <w:rPr>
          <w:b/>
        </w:rPr>
        <w:t>. О. Тарасов та інші)</w:t>
      </w:r>
    </w:p>
    <w:p w:rsidR="00B8073D" w:rsidRPr="00B140B4" w:rsidRDefault="00B8073D" w:rsidP="00B8073D">
      <w:pPr>
        <w:spacing w:before="60" w:after="60"/>
        <w:ind w:firstLine="567"/>
        <w:jc w:val="both"/>
        <w:rPr>
          <w:b/>
        </w:rPr>
      </w:pPr>
      <w:r w:rsidRPr="00B140B4">
        <w:rPr>
          <w:b/>
        </w:rPr>
        <w:t>1. Загальна характеристика законопроекту.</w:t>
      </w:r>
    </w:p>
    <w:p w:rsidR="00B8073D" w:rsidRPr="00B140B4" w:rsidRDefault="00B8073D" w:rsidP="00B8073D">
      <w:pPr>
        <w:widowControl w:val="0"/>
        <w:tabs>
          <w:tab w:val="left" w:pos="1440"/>
          <w:tab w:val="left" w:pos="1800"/>
        </w:tabs>
        <w:ind w:firstLine="709"/>
        <w:jc w:val="both"/>
      </w:pPr>
      <w:r w:rsidRPr="00B140B4">
        <w:t xml:space="preserve">Метою прийняття проекту Закону, згідно з пояснювальною запискою, є </w:t>
      </w:r>
      <w:r w:rsidRPr="00B140B4">
        <w:rPr>
          <w:iCs/>
        </w:rPr>
        <w:t>вдосконалення правового регулювання виробництва хутра в Україні.</w:t>
      </w:r>
      <w:r w:rsidRPr="00B140B4">
        <w:t xml:space="preserve">  Для цього у законопроекті пропонується внести зміни до:</w:t>
      </w:r>
    </w:p>
    <w:p w:rsidR="00B8073D" w:rsidRPr="00B140B4" w:rsidRDefault="00B8073D" w:rsidP="00B8073D">
      <w:pPr>
        <w:pStyle w:val="a6"/>
        <w:widowControl w:val="0"/>
        <w:numPr>
          <w:ilvl w:val="0"/>
          <w:numId w:val="2"/>
        </w:numPr>
        <w:tabs>
          <w:tab w:val="left" w:pos="851"/>
        </w:tabs>
        <w:ind w:left="0" w:firstLine="567"/>
        <w:jc w:val="both"/>
      </w:pPr>
      <w:r w:rsidRPr="00B140B4">
        <w:t xml:space="preserve">Кодексу України про адміністративні правопорушення; </w:t>
      </w:r>
    </w:p>
    <w:p w:rsidR="00B8073D" w:rsidRPr="00B140B4" w:rsidRDefault="00B8073D" w:rsidP="00B8073D">
      <w:pPr>
        <w:pStyle w:val="a6"/>
        <w:widowControl w:val="0"/>
        <w:numPr>
          <w:ilvl w:val="0"/>
          <w:numId w:val="2"/>
        </w:numPr>
        <w:tabs>
          <w:tab w:val="left" w:pos="851"/>
        </w:tabs>
        <w:ind w:left="0" w:firstLine="567"/>
        <w:jc w:val="both"/>
      </w:pPr>
      <w:r w:rsidRPr="00B140B4">
        <w:t xml:space="preserve">Закону України «Про захист тварин від жорстокого поводження», передбачивши визначення терміну «хутрові тварини» та доповнення до загальних правил утримання тварин, що виключають жорстокість; </w:t>
      </w:r>
    </w:p>
    <w:p w:rsidR="00B8073D" w:rsidRPr="00B140B4" w:rsidRDefault="00B8073D" w:rsidP="00B8073D">
      <w:pPr>
        <w:pStyle w:val="a6"/>
        <w:widowControl w:val="0"/>
        <w:numPr>
          <w:ilvl w:val="0"/>
          <w:numId w:val="2"/>
        </w:numPr>
        <w:tabs>
          <w:tab w:val="left" w:pos="851"/>
        </w:tabs>
        <w:ind w:left="0" w:firstLine="567"/>
        <w:jc w:val="both"/>
        <w:rPr>
          <w:color w:val="000000" w:themeColor="text1"/>
        </w:rPr>
      </w:pPr>
      <w:r w:rsidRPr="00B140B4">
        <w:t xml:space="preserve">Закону України «Про охорону навколишнього природного середовища», передбачивши серед основних принципів охорони навколишнього природного середовища «відповідність господарської діяльності з розведення, вирощування та/або утримання хутрових тварин з метою виробництва хутра вимогам, затвердженим центральним органом виконавчої влади, що забезпечує формування державної політики у сфері </w:t>
      </w:r>
      <w:r w:rsidRPr="00B140B4">
        <w:rPr>
          <w:color w:val="000000" w:themeColor="text1"/>
        </w:rPr>
        <w:t>тваринництва», а також встановлення умов за яких дозволяється господарська діяльність з розведення, вирощування та/або утримання хутрових тварин з метою виробництва хутра;</w:t>
      </w:r>
    </w:p>
    <w:p w:rsidR="00B8073D" w:rsidRPr="00B140B4" w:rsidRDefault="00B8073D" w:rsidP="00B8073D">
      <w:pPr>
        <w:pStyle w:val="a6"/>
        <w:widowControl w:val="0"/>
        <w:numPr>
          <w:ilvl w:val="0"/>
          <w:numId w:val="2"/>
        </w:numPr>
        <w:tabs>
          <w:tab w:val="left" w:pos="851"/>
        </w:tabs>
        <w:ind w:left="0" w:firstLine="567"/>
        <w:jc w:val="both"/>
      </w:pPr>
      <w:r w:rsidRPr="00B140B4">
        <w:t>Закону України «Про оцінку впливу на довкілля», передбачивши, що друга категорія видів планової діяльності та об’єктів, які можуть мати значний вплив на довкілля та підлягають оцінці впливу на довкілля, включає потужності для вирощування хутрових тварин (більше 1 тисячі голів основного стада).</w:t>
      </w:r>
    </w:p>
    <w:p w:rsidR="00B8073D" w:rsidRPr="00B140B4" w:rsidRDefault="00B8073D" w:rsidP="00B8073D">
      <w:pPr>
        <w:spacing w:before="240" w:after="60"/>
        <w:ind w:firstLine="567"/>
        <w:jc w:val="both"/>
        <w:rPr>
          <w:b/>
          <w:bCs/>
        </w:rPr>
      </w:pPr>
      <w:r w:rsidRPr="00B140B4">
        <w:rPr>
          <w:rFonts w:eastAsia="Verdana"/>
          <w:b/>
          <w:bCs/>
        </w:rPr>
        <w:t>2.  </w:t>
      </w:r>
      <w:r w:rsidRPr="00B140B4">
        <w:rPr>
          <w:b/>
          <w:bCs/>
        </w:rPr>
        <w:t>Належність законопроекту за предметом правового регулювання до сфери дії права Європейського Союзу.</w:t>
      </w:r>
    </w:p>
    <w:p w:rsidR="00B8073D" w:rsidRPr="00B140B4" w:rsidRDefault="00B8073D" w:rsidP="00B8073D">
      <w:pPr>
        <w:spacing w:before="60" w:after="60"/>
        <w:ind w:firstLine="567"/>
        <w:jc w:val="both"/>
      </w:pPr>
      <w:r w:rsidRPr="00B140B4">
        <w:t xml:space="preserve">Предмет правового регулювання законопроекту охоплюється положеннями глави 4 «Санітарні та </w:t>
      </w:r>
      <w:proofErr w:type="spellStart"/>
      <w:r w:rsidRPr="00B140B4">
        <w:t>фітосанітарні</w:t>
      </w:r>
      <w:proofErr w:type="spellEnd"/>
      <w:r w:rsidRPr="00B140B4">
        <w:t xml:space="preserve"> заходи» розділу ІV «Торгівля і питання, пов’язані з торгівлею» та глави 17 «Сільське господарство та розвиток сільських територій»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B8073D" w:rsidRPr="00B140B4" w:rsidRDefault="00B8073D" w:rsidP="00B8073D">
      <w:pPr>
        <w:pStyle w:val="1"/>
        <w:spacing w:after="0" w:line="240" w:lineRule="auto"/>
        <w:ind w:left="0" w:firstLine="567"/>
        <w:jc w:val="both"/>
        <w:rPr>
          <w:rFonts w:ascii="Times New Roman" w:eastAsia="Times New Roman" w:hAnsi="Times New Roman"/>
          <w:color w:val="000000" w:themeColor="text1"/>
          <w:sz w:val="28"/>
          <w:szCs w:val="28"/>
          <w:lang w:val="uk-UA" w:eastAsia="ru-RU"/>
        </w:rPr>
      </w:pPr>
      <w:r w:rsidRPr="00B140B4">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в Європейському Союзі регулюються:</w:t>
      </w:r>
    </w:p>
    <w:p w:rsidR="00B8073D" w:rsidRPr="00B140B4" w:rsidRDefault="00B8073D" w:rsidP="00B8073D">
      <w:pPr>
        <w:numPr>
          <w:ilvl w:val="0"/>
          <w:numId w:val="1"/>
        </w:numPr>
        <w:tabs>
          <w:tab w:val="clear" w:pos="2574"/>
          <w:tab w:val="num" w:pos="0"/>
          <w:tab w:val="left" w:pos="851"/>
        </w:tabs>
        <w:ind w:left="0" w:firstLine="567"/>
        <w:jc w:val="both"/>
      </w:pPr>
      <w:r w:rsidRPr="00B140B4">
        <w:rPr>
          <w:i/>
          <w:iCs/>
        </w:rPr>
        <w:t>Директивою Ради 98/58/ЄС від 20 липня 1998 року про захист тварин, що утримуються для сільськогосподарських потреб</w:t>
      </w:r>
      <w:r w:rsidRPr="00B140B4">
        <w:t xml:space="preserve"> (</w:t>
      </w:r>
      <w:proofErr w:type="spellStart"/>
      <w:r w:rsidRPr="00B140B4">
        <w:t>Official</w:t>
      </w:r>
      <w:proofErr w:type="spellEnd"/>
      <w:r w:rsidRPr="00B140B4">
        <w:t xml:space="preserve"> </w:t>
      </w:r>
      <w:proofErr w:type="spellStart"/>
      <w:r w:rsidRPr="00B140B4">
        <w:t>Journal</w:t>
      </w:r>
      <w:proofErr w:type="spellEnd"/>
      <w:r w:rsidRPr="00B140B4">
        <w:t xml:space="preserve"> L 221, 08.08.1998, р. 23–27) (далі – Директива 98/58/ЄС);</w:t>
      </w:r>
    </w:p>
    <w:p w:rsidR="00B8073D" w:rsidRPr="00B140B4" w:rsidRDefault="00B8073D" w:rsidP="00B8073D">
      <w:pPr>
        <w:numPr>
          <w:ilvl w:val="0"/>
          <w:numId w:val="1"/>
        </w:numPr>
        <w:tabs>
          <w:tab w:val="clear" w:pos="2574"/>
          <w:tab w:val="num" w:pos="0"/>
          <w:tab w:val="left" w:pos="851"/>
        </w:tabs>
        <w:ind w:left="0" w:firstLine="567"/>
        <w:jc w:val="both"/>
      </w:pPr>
      <w:r w:rsidRPr="00B140B4">
        <w:rPr>
          <w:i/>
          <w:iCs/>
        </w:rPr>
        <w:t xml:space="preserve">Регламентом Ради (ЄС) № 1/2005/ЄС від 22 грудня 2004 року про захист тварин під час їх транспортування та пов’язаних з цим операцій, яким вносяться зміни до Директив 64/432/ЄЕС та 93/119/ЄС та Регламенту (ЄС) № 1255/97 </w:t>
      </w:r>
      <w:r w:rsidRPr="00B140B4">
        <w:t>(</w:t>
      </w:r>
      <w:proofErr w:type="spellStart"/>
      <w:r w:rsidRPr="00B140B4">
        <w:t>Official</w:t>
      </w:r>
      <w:proofErr w:type="spellEnd"/>
      <w:r w:rsidRPr="00B140B4">
        <w:t xml:space="preserve"> </w:t>
      </w:r>
      <w:proofErr w:type="spellStart"/>
      <w:r w:rsidRPr="00B140B4">
        <w:t>Journal</w:t>
      </w:r>
      <w:proofErr w:type="spellEnd"/>
      <w:r w:rsidRPr="00B140B4">
        <w:t xml:space="preserve"> L 3, 05.01.2005, р. 1–44) (далі – Регламент № 1/2005/ЄС);</w:t>
      </w:r>
    </w:p>
    <w:p w:rsidR="00B8073D" w:rsidRPr="00B140B4" w:rsidRDefault="00B8073D" w:rsidP="00B8073D">
      <w:pPr>
        <w:numPr>
          <w:ilvl w:val="0"/>
          <w:numId w:val="1"/>
        </w:numPr>
        <w:tabs>
          <w:tab w:val="clear" w:pos="2574"/>
          <w:tab w:val="num" w:pos="0"/>
          <w:tab w:val="left" w:pos="851"/>
        </w:tabs>
        <w:ind w:left="0" w:firstLine="567"/>
        <w:jc w:val="both"/>
      </w:pPr>
      <w:r w:rsidRPr="00B140B4">
        <w:rPr>
          <w:i/>
        </w:rPr>
        <w:lastRenderedPageBreak/>
        <w:t>Регламент Ради (ЄС) № 1099/2009 від 24 вересня 2009 року щодо захисту тварин під час умертвіння</w:t>
      </w:r>
      <w:r w:rsidRPr="00B140B4">
        <w:t xml:space="preserve"> (</w:t>
      </w:r>
      <w:proofErr w:type="spellStart"/>
      <w:r w:rsidRPr="00B140B4">
        <w:t>Official</w:t>
      </w:r>
      <w:proofErr w:type="spellEnd"/>
      <w:r w:rsidRPr="00B140B4">
        <w:t xml:space="preserve"> </w:t>
      </w:r>
      <w:proofErr w:type="spellStart"/>
      <w:r w:rsidRPr="00B140B4">
        <w:t>Journal</w:t>
      </w:r>
      <w:proofErr w:type="spellEnd"/>
      <w:r w:rsidRPr="00B140B4">
        <w:t xml:space="preserve"> L 303, 18.11.2009, р. 1–30) (далі – Регламент № 1099/2009);</w:t>
      </w:r>
    </w:p>
    <w:p w:rsidR="00B8073D" w:rsidRPr="00B140B4" w:rsidRDefault="00B8073D" w:rsidP="00B8073D">
      <w:pPr>
        <w:numPr>
          <w:ilvl w:val="0"/>
          <w:numId w:val="1"/>
        </w:numPr>
        <w:tabs>
          <w:tab w:val="clear" w:pos="2574"/>
          <w:tab w:val="num" w:pos="0"/>
          <w:tab w:val="left" w:pos="851"/>
        </w:tabs>
        <w:ind w:left="0" w:firstLine="567"/>
        <w:jc w:val="both"/>
      </w:pPr>
      <w:r w:rsidRPr="00B140B4">
        <w:rPr>
          <w:i/>
        </w:rPr>
        <w:t xml:space="preserve">Директива 2011/92/ЄС Європейського Парламенту та Ради від 13 грудня 2011 року про оцінку впливу окремих державних і приватних проектів на навколишнє середовище </w:t>
      </w:r>
      <w:r w:rsidRPr="00B140B4">
        <w:t>(</w:t>
      </w:r>
      <w:proofErr w:type="spellStart"/>
      <w:r w:rsidRPr="00B140B4">
        <w:t>Official</w:t>
      </w:r>
      <w:proofErr w:type="spellEnd"/>
      <w:r w:rsidRPr="00B140B4">
        <w:t xml:space="preserve"> </w:t>
      </w:r>
      <w:proofErr w:type="spellStart"/>
      <w:r w:rsidRPr="00B140B4">
        <w:t>Journal</w:t>
      </w:r>
      <w:proofErr w:type="spellEnd"/>
      <w:r w:rsidRPr="00B140B4">
        <w:t xml:space="preserve"> L </w:t>
      </w:r>
      <w:r w:rsidRPr="00B140B4">
        <w:rPr>
          <w:iCs/>
        </w:rPr>
        <w:t xml:space="preserve">26, 28.1.2012, p. 1–21) </w:t>
      </w:r>
      <w:r w:rsidRPr="00B140B4">
        <w:t>(далі – Директива 2011/92/ЄС).</w:t>
      </w:r>
    </w:p>
    <w:p w:rsidR="00B8073D" w:rsidRPr="00B140B4" w:rsidRDefault="00B8073D" w:rsidP="00B8073D">
      <w:pPr>
        <w:spacing w:before="240" w:after="60"/>
        <w:ind w:firstLine="567"/>
        <w:jc w:val="both"/>
        <w:rPr>
          <w:b/>
        </w:rPr>
      </w:pPr>
      <w:r w:rsidRPr="00B140B4">
        <w:rPr>
          <w:rFonts w:eastAsia="Verdana"/>
          <w:b/>
          <w:bCs/>
        </w:rPr>
        <w:t>3.  </w:t>
      </w:r>
      <w:r w:rsidRPr="00B140B4">
        <w:rPr>
          <w:b/>
        </w:rPr>
        <w:t>Відповідність законопроекту праву ЄС.</w:t>
      </w:r>
    </w:p>
    <w:p w:rsidR="00B8073D" w:rsidRPr="00B140B4" w:rsidRDefault="00B8073D" w:rsidP="00B8073D">
      <w:pPr>
        <w:pStyle w:val="1"/>
        <w:tabs>
          <w:tab w:val="left" w:pos="851"/>
        </w:tabs>
        <w:spacing w:before="60" w:after="60" w:line="240" w:lineRule="auto"/>
        <w:ind w:left="0" w:firstLine="567"/>
        <w:jc w:val="both"/>
        <w:rPr>
          <w:rFonts w:ascii="Times New Roman" w:hAnsi="Times New Roman"/>
          <w:sz w:val="28"/>
          <w:szCs w:val="28"/>
          <w:lang w:val="uk-UA"/>
        </w:rPr>
      </w:pPr>
      <w:r w:rsidRPr="00B140B4">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B140B4">
        <w:rPr>
          <w:rFonts w:ascii="Times New Roman" w:eastAsia="Times New Roman" w:hAnsi="Times New Roman"/>
          <w:sz w:val="28"/>
          <w:szCs w:val="28"/>
          <w:lang w:val="uk-UA" w:eastAsia="ru-RU"/>
        </w:rPr>
        <w:t>aquis</w:t>
      </w:r>
      <w:proofErr w:type="spellEnd"/>
      <w:r w:rsidRPr="00B140B4">
        <w:rPr>
          <w:rFonts w:ascii="Times New Roman" w:eastAsia="Times New Roman" w:hAnsi="Times New Roman"/>
          <w:sz w:val="28"/>
          <w:szCs w:val="28"/>
          <w:lang w:val="uk-UA" w:eastAsia="ru-RU"/>
        </w:rPr>
        <w:t xml:space="preserve"> ЄС та Угоді про асоціацію слід </w:t>
      </w:r>
      <w:r w:rsidRPr="00B140B4">
        <w:rPr>
          <w:rFonts w:ascii="Times New Roman" w:hAnsi="Times New Roman"/>
          <w:sz w:val="28"/>
          <w:szCs w:val="28"/>
          <w:lang w:val="uk-UA"/>
        </w:rPr>
        <w:t>зазначити таке.</w:t>
      </w:r>
    </w:p>
    <w:p w:rsidR="00B8073D" w:rsidRPr="00B140B4" w:rsidRDefault="00B8073D" w:rsidP="00B8073D">
      <w:pPr>
        <w:pStyle w:val="1"/>
        <w:tabs>
          <w:tab w:val="left" w:pos="851"/>
        </w:tabs>
        <w:spacing w:before="60" w:after="60" w:line="240" w:lineRule="auto"/>
        <w:ind w:left="0" w:firstLine="567"/>
        <w:jc w:val="both"/>
        <w:rPr>
          <w:rFonts w:ascii="Times New Roman" w:hAnsi="Times New Roman"/>
          <w:sz w:val="28"/>
          <w:szCs w:val="28"/>
          <w:lang w:val="uk-UA"/>
        </w:rPr>
      </w:pPr>
      <w:r w:rsidRPr="00B140B4">
        <w:rPr>
          <w:rFonts w:ascii="Times New Roman" w:hAnsi="Times New Roman"/>
          <w:sz w:val="28"/>
          <w:szCs w:val="28"/>
          <w:lang w:val="uk-UA"/>
        </w:rPr>
        <w:t xml:space="preserve">Згідно з </w:t>
      </w:r>
      <w:r w:rsidRPr="00B140B4">
        <w:rPr>
          <w:rFonts w:ascii="Times New Roman" w:hAnsi="Times New Roman"/>
          <w:i/>
          <w:sz w:val="28"/>
          <w:szCs w:val="28"/>
          <w:lang w:val="uk-UA"/>
        </w:rPr>
        <w:t>частиною 2 статті 59 Угоди про асоціацію</w:t>
      </w:r>
      <w:r w:rsidRPr="00B140B4">
        <w:rPr>
          <w:rFonts w:ascii="Times New Roman" w:hAnsi="Times New Roman"/>
          <w:sz w:val="28"/>
          <w:szCs w:val="28"/>
          <w:lang w:val="uk-UA"/>
        </w:rPr>
        <w:t xml:space="preserve"> Сторони мають на меті досягнення взаємного розуміння стосовно стандартів утримання та поводження з тваринами.</w:t>
      </w:r>
    </w:p>
    <w:p w:rsidR="00217ADB" w:rsidRPr="00B140B4" w:rsidRDefault="00217ADB" w:rsidP="00217ADB">
      <w:pPr>
        <w:pStyle w:val="1"/>
        <w:tabs>
          <w:tab w:val="left" w:pos="851"/>
        </w:tabs>
        <w:spacing w:before="60" w:after="60" w:line="240" w:lineRule="auto"/>
        <w:ind w:left="0" w:firstLine="567"/>
        <w:jc w:val="both"/>
        <w:rPr>
          <w:rFonts w:ascii="Times New Roman" w:hAnsi="Times New Roman"/>
          <w:sz w:val="28"/>
          <w:szCs w:val="28"/>
          <w:lang w:val="uk-UA"/>
        </w:rPr>
      </w:pPr>
      <w:r w:rsidRPr="00B140B4">
        <w:rPr>
          <w:rFonts w:ascii="Times New Roman" w:hAnsi="Times New Roman"/>
          <w:sz w:val="28"/>
          <w:szCs w:val="28"/>
          <w:lang w:val="uk-UA"/>
        </w:rPr>
        <w:t xml:space="preserve">У </w:t>
      </w:r>
      <w:r w:rsidRPr="00B140B4">
        <w:rPr>
          <w:rFonts w:ascii="Times New Roman" w:hAnsi="Times New Roman"/>
          <w:i/>
          <w:sz w:val="28"/>
          <w:szCs w:val="28"/>
          <w:lang w:val="uk-UA"/>
        </w:rPr>
        <w:t>статті 404 Угоди про асоціацію</w:t>
      </w:r>
      <w:r w:rsidRPr="00B140B4">
        <w:rPr>
          <w:rFonts w:ascii="Times New Roman" w:hAnsi="Times New Roman"/>
          <w:sz w:val="28"/>
          <w:szCs w:val="28"/>
          <w:lang w:val="uk-UA"/>
        </w:rPr>
        <w:t xml:space="preserve"> передбачено, що співробітництво між Сторонами у сфері сільського господарства та розвитку сільських територій охоплює сфери, зокрема, щодо заохочення сучасного та сталого сільськогосподарського виробництва, з урахуванням необхідності захисту навколишнього середовища і тварин, серед іншого, шляхом впровадження найкращих практик у цих сферах, а також посилення гармонізації з питань, які обговорюються в рамках міжнародних організацій.</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hAnsi="Times New Roman"/>
          <w:sz w:val="28"/>
          <w:szCs w:val="28"/>
          <w:lang w:val="uk-UA"/>
        </w:rPr>
        <w:t xml:space="preserve">Відповідно до </w:t>
      </w:r>
      <w:r w:rsidRPr="00B140B4">
        <w:rPr>
          <w:rFonts w:ascii="Times New Roman" w:hAnsi="Times New Roman"/>
          <w:i/>
          <w:sz w:val="28"/>
          <w:szCs w:val="28"/>
          <w:lang w:val="uk-UA"/>
        </w:rPr>
        <w:t>статті 61 Угоди про асоціацію</w:t>
      </w:r>
      <w:r w:rsidRPr="00B140B4">
        <w:rPr>
          <w:rFonts w:ascii="Times New Roman" w:hAnsi="Times New Roman"/>
          <w:sz w:val="28"/>
          <w:szCs w:val="28"/>
          <w:lang w:val="uk-UA"/>
        </w:rPr>
        <w:t xml:space="preserve"> глава 4 розділу ІV цієї Угоди застосовується до всіх санітарних та </w:t>
      </w:r>
      <w:proofErr w:type="spellStart"/>
      <w:r w:rsidRPr="00B140B4">
        <w:rPr>
          <w:rFonts w:ascii="Times New Roman" w:hAnsi="Times New Roman"/>
          <w:sz w:val="28"/>
          <w:szCs w:val="28"/>
          <w:lang w:val="uk-UA"/>
        </w:rPr>
        <w:t>фітосанітарних</w:t>
      </w:r>
      <w:proofErr w:type="spellEnd"/>
      <w:r w:rsidRPr="00B140B4">
        <w:rPr>
          <w:rFonts w:ascii="Times New Roman" w:hAnsi="Times New Roman"/>
          <w:sz w:val="28"/>
          <w:szCs w:val="28"/>
          <w:lang w:val="uk-UA"/>
        </w:rPr>
        <w:t xml:space="preserve"> заходів Сторони, зазначених, зокрема, у </w:t>
      </w:r>
      <w:r w:rsidRPr="00B140B4">
        <w:rPr>
          <w:rFonts w:ascii="Times New Roman" w:hAnsi="Times New Roman"/>
          <w:i/>
          <w:sz w:val="28"/>
          <w:szCs w:val="28"/>
          <w:lang w:val="uk-UA"/>
        </w:rPr>
        <w:t>Додатку ІV-В</w:t>
      </w:r>
      <w:r w:rsidRPr="00B140B4">
        <w:rPr>
          <w:rFonts w:ascii="Times New Roman" w:hAnsi="Times New Roman"/>
          <w:sz w:val="28"/>
          <w:szCs w:val="28"/>
          <w:lang w:val="uk-UA"/>
        </w:rPr>
        <w:t xml:space="preserve">, яким передбачено стандарти утримання та поводження з тваринами стосовно: 1. оглушення та забою тварин; 2. транспортування тварин та пов’язані з цим дії; 3. </w:t>
      </w:r>
      <w:r w:rsidRPr="00B140B4">
        <w:rPr>
          <w:rFonts w:ascii="Times New Roman" w:eastAsia="Times New Roman" w:hAnsi="Times New Roman"/>
          <w:sz w:val="28"/>
          <w:szCs w:val="28"/>
          <w:lang w:val="uk-UA" w:eastAsia="ru-RU"/>
        </w:rPr>
        <w:t>розведення тварин.</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Принагідно варто зазначити, що імплементація </w:t>
      </w:r>
      <w:r w:rsidRPr="00B140B4">
        <w:rPr>
          <w:rFonts w:ascii="Times New Roman" w:eastAsia="Times New Roman" w:hAnsi="Times New Roman"/>
          <w:i/>
          <w:sz w:val="28"/>
          <w:szCs w:val="28"/>
          <w:lang w:val="uk-UA" w:eastAsia="ru-RU"/>
        </w:rPr>
        <w:t>Регламенту № 1/2005/ЄС</w:t>
      </w:r>
      <w:r w:rsidRPr="00B140B4">
        <w:rPr>
          <w:rFonts w:ascii="Times New Roman" w:eastAsia="Times New Roman" w:hAnsi="Times New Roman"/>
          <w:sz w:val="28"/>
          <w:szCs w:val="28"/>
          <w:lang w:val="uk-UA" w:eastAsia="ru-RU"/>
        </w:rPr>
        <w:t xml:space="preserve"> та </w:t>
      </w:r>
      <w:r w:rsidRPr="00B140B4">
        <w:rPr>
          <w:rFonts w:ascii="Times New Roman" w:eastAsia="Times New Roman" w:hAnsi="Times New Roman"/>
          <w:i/>
          <w:sz w:val="28"/>
          <w:szCs w:val="28"/>
          <w:lang w:val="uk-UA" w:eastAsia="ru-RU"/>
        </w:rPr>
        <w:t>Регламенту № 1099/2009</w:t>
      </w:r>
      <w:r w:rsidRPr="00B140B4">
        <w:rPr>
          <w:rFonts w:ascii="Times New Roman" w:eastAsia="Times New Roman" w:hAnsi="Times New Roman"/>
          <w:sz w:val="28"/>
          <w:szCs w:val="28"/>
          <w:lang w:val="uk-UA" w:eastAsia="ru-RU"/>
        </w:rPr>
        <w:t xml:space="preserve"> у національне законодавство України передбачена Планом заходів з виконання Угоди про асоціацію, затвердженим постановою Кабінету Міністрів України 25 жовтня 2017 р. № 1106 (імплементація </w:t>
      </w:r>
      <w:r w:rsidRPr="00B140B4">
        <w:rPr>
          <w:rFonts w:ascii="Times New Roman" w:eastAsia="Times New Roman" w:hAnsi="Times New Roman"/>
          <w:i/>
          <w:sz w:val="28"/>
          <w:szCs w:val="28"/>
          <w:lang w:val="uk-UA" w:eastAsia="ru-RU"/>
        </w:rPr>
        <w:t>Директиви 98/58/ЄС</w:t>
      </w:r>
      <w:r w:rsidRPr="00B140B4">
        <w:rPr>
          <w:rFonts w:ascii="Times New Roman" w:eastAsia="Times New Roman" w:hAnsi="Times New Roman"/>
          <w:sz w:val="28"/>
          <w:szCs w:val="28"/>
          <w:lang w:val="uk-UA" w:eastAsia="ru-RU"/>
        </w:rPr>
        <w:t xml:space="preserve"> згаданим документом не передбачена). </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У </w:t>
      </w:r>
      <w:r w:rsidRPr="00B140B4">
        <w:rPr>
          <w:rFonts w:ascii="Times New Roman" w:eastAsia="Times New Roman" w:hAnsi="Times New Roman"/>
          <w:i/>
          <w:sz w:val="28"/>
          <w:szCs w:val="28"/>
          <w:lang w:val="uk-UA" w:eastAsia="ru-RU"/>
        </w:rPr>
        <w:t>статті 3 Директиви 98/58/ЄС</w:t>
      </w:r>
      <w:r w:rsidRPr="00B140B4">
        <w:rPr>
          <w:rFonts w:ascii="Times New Roman" w:eastAsia="Times New Roman" w:hAnsi="Times New Roman"/>
          <w:sz w:val="28"/>
          <w:szCs w:val="28"/>
          <w:lang w:val="uk-UA" w:eastAsia="ru-RU"/>
        </w:rPr>
        <w:t xml:space="preserve"> визначено, що держава-член повинна встановити положення для гарантування, що власники або утримувачі застосують всі обґрунтовані кроки для забезпечення нормального існування тварин під їх опікою та гарантують, що ці тварини не піддаються зайвого болю, страждань та шкоди.</w:t>
      </w:r>
    </w:p>
    <w:p w:rsidR="00824572" w:rsidRPr="00B140B4" w:rsidRDefault="00824572" w:rsidP="00824572">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Також у </w:t>
      </w:r>
      <w:r w:rsidRPr="00B140B4">
        <w:rPr>
          <w:rFonts w:ascii="Times New Roman" w:eastAsia="Times New Roman" w:hAnsi="Times New Roman"/>
          <w:i/>
          <w:sz w:val="28"/>
          <w:szCs w:val="28"/>
          <w:lang w:val="uk-UA" w:eastAsia="ru-RU"/>
        </w:rPr>
        <w:t>статті 4 Директиви 98/58/ЄС</w:t>
      </w:r>
      <w:r w:rsidRPr="00B140B4">
        <w:rPr>
          <w:rFonts w:ascii="Times New Roman" w:eastAsia="Times New Roman" w:hAnsi="Times New Roman"/>
          <w:sz w:val="28"/>
          <w:szCs w:val="28"/>
          <w:lang w:val="uk-UA" w:eastAsia="ru-RU"/>
        </w:rPr>
        <w:t xml:space="preserve"> зазначено, що держава-член повинна гарантувати умови, відповідно до яких тварини розводитимуться та утримуватимуться, з урахуванням їх виду та стадії розвитку, ступеню звикання та прирученості, їх фізіологічних та етологічних потреб відповідно до накопиченого досвіду та наукових знань, виконувати положення визначені у Додатку до цієї Директиви.</w:t>
      </w:r>
    </w:p>
    <w:p w:rsidR="00B8073D" w:rsidRPr="00B140B4" w:rsidRDefault="0004284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У</w:t>
      </w:r>
      <w:r w:rsidR="00B8073D" w:rsidRPr="00B140B4">
        <w:rPr>
          <w:rFonts w:ascii="Times New Roman" w:eastAsia="Times New Roman" w:hAnsi="Times New Roman"/>
          <w:sz w:val="28"/>
          <w:szCs w:val="28"/>
          <w:lang w:val="uk-UA" w:eastAsia="ru-RU"/>
        </w:rPr>
        <w:t xml:space="preserve"> </w:t>
      </w:r>
      <w:r w:rsidR="00B8073D" w:rsidRPr="00B140B4">
        <w:rPr>
          <w:rFonts w:ascii="Times New Roman" w:eastAsia="Times New Roman" w:hAnsi="Times New Roman"/>
          <w:i/>
          <w:sz w:val="28"/>
          <w:szCs w:val="28"/>
          <w:lang w:val="uk-UA" w:eastAsia="ru-RU"/>
        </w:rPr>
        <w:t>Додатку до Директиви 98/58/ЄС</w:t>
      </w:r>
      <w:r w:rsidR="00B8073D" w:rsidRPr="00B140B4">
        <w:rPr>
          <w:rFonts w:ascii="Times New Roman" w:eastAsia="Times New Roman" w:hAnsi="Times New Roman"/>
          <w:sz w:val="28"/>
          <w:szCs w:val="28"/>
          <w:lang w:val="uk-UA" w:eastAsia="ru-RU"/>
        </w:rPr>
        <w:t xml:space="preserve"> детально прописані стандарти утримання тварин, зокрема, щодо:</w:t>
      </w:r>
    </w:p>
    <w:p w:rsidR="00B8073D" w:rsidRPr="00B140B4" w:rsidRDefault="00B8073D" w:rsidP="00B8073D">
      <w:pPr>
        <w:pStyle w:val="1"/>
        <w:numPr>
          <w:ilvl w:val="0"/>
          <w:numId w:val="3"/>
        </w:numPr>
        <w:tabs>
          <w:tab w:val="left" w:pos="851"/>
        </w:tabs>
        <w:spacing w:before="60" w:after="60" w:line="240" w:lineRule="auto"/>
        <w:ind w:left="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свободи переміщення (</w:t>
      </w:r>
      <w:r w:rsidRPr="00B140B4">
        <w:rPr>
          <w:rFonts w:ascii="Times New Roman" w:eastAsia="Times New Roman" w:hAnsi="Times New Roman"/>
          <w:i/>
          <w:sz w:val="28"/>
          <w:szCs w:val="28"/>
          <w:lang w:val="uk-UA" w:eastAsia="ru-RU"/>
        </w:rPr>
        <w:t>пункт 7 Додатку до Директиви 98/58/ЄС</w:t>
      </w:r>
      <w:r w:rsidRPr="00B140B4">
        <w:rPr>
          <w:rFonts w:ascii="Times New Roman" w:eastAsia="Times New Roman" w:hAnsi="Times New Roman"/>
          <w:sz w:val="28"/>
          <w:szCs w:val="28"/>
          <w:lang w:val="uk-UA" w:eastAsia="ru-RU"/>
        </w:rPr>
        <w:t xml:space="preserve">); </w:t>
      </w:r>
    </w:p>
    <w:p w:rsidR="00B8073D" w:rsidRPr="00B140B4" w:rsidRDefault="00B8073D" w:rsidP="00B8073D">
      <w:pPr>
        <w:pStyle w:val="1"/>
        <w:numPr>
          <w:ilvl w:val="0"/>
          <w:numId w:val="3"/>
        </w:numPr>
        <w:tabs>
          <w:tab w:val="left" w:pos="851"/>
        </w:tabs>
        <w:spacing w:before="60" w:after="60" w:line="240" w:lineRule="auto"/>
        <w:ind w:left="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lastRenderedPageBreak/>
        <w:t>будівлі та приміщення, де утримуються тварини (</w:t>
      </w:r>
      <w:r w:rsidRPr="00B140B4">
        <w:rPr>
          <w:rFonts w:ascii="Times New Roman" w:eastAsia="Times New Roman" w:hAnsi="Times New Roman"/>
          <w:i/>
          <w:sz w:val="28"/>
          <w:szCs w:val="28"/>
          <w:lang w:val="uk-UA" w:eastAsia="ru-RU"/>
        </w:rPr>
        <w:t>пункти 8 – 11 Додатку до Директиви 98/58/ЄС</w:t>
      </w:r>
      <w:r w:rsidRPr="00B140B4">
        <w:rPr>
          <w:rFonts w:ascii="Times New Roman" w:eastAsia="Times New Roman" w:hAnsi="Times New Roman"/>
          <w:sz w:val="28"/>
          <w:szCs w:val="28"/>
          <w:lang w:val="uk-UA" w:eastAsia="ru-RU"/>
        </w:rPr>
        <w:t>);</w:t>
      </w:r>
    </w:p>
    <w:p w:rsidR="00B8073D" w:rsidRPr="00B140B4" w:rsidRDefault="00B8073D" w:rsidP="00B8073D">
      <w:pPr>
        <w:pStyle w:val="1"/>
        <w:numPr>
          <w:ilvl w:val="0"/>
          <w:numId w:val="3"/>
        </w:numPr>
        <w:tabs>
          <w:tab w:val="left" w:pos="851"/>
        </w:tabs>
        <w:spacing w:before="60" w:after="60" w:line="240" w:lineRule="auto"/>
        <w:ind w:left="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автоматичного або механічного обладнання, невід’ємного для здоров’я та нормального існування тварин (</w:t>
      </w:r>
      <w:r w:rsidRPr="00B140B4">
        <w:rPr>
          <w:rFonts w:ascii="Times New Roman" w:eastAsia="Times New Roman" w:hAnsi="Times New Roman"/>
          <w:i/>
          <w:sz w:val="28"/>
          <w:szCs w:val="28"/>
          <w:lang w:val="uk-UA" w:eastAsia="ru-RU"/>
        </w:rPr>
        <w:t>пункт 13 Додатку до Директиви 98/58/ЄС</w:t>
      </w:r>
      <w:r w:rsidRPr="00B140B4">
        <w:rPr>
          <w:rFonts w:ascii="Times New Roman" w:eastAsia="Times New Roman" w:hAnsi="Times New Roman"/>
          <w:sz w:val="28"/>
          <w:szCs w:val="28"/>
          <w:lang w:val="uk-UA" w:eastAsia="ru-RU"/>
        </w:rPr>
        <w:t>);</w:t>
      </w:r>
    </w:p>
    <w:p w:rsidR="00B8073D" w:rsidRPr="00B140B4" w:rsidRDefault="00B8073D" w:rsidP="00B8073D">
      <w:pPr>
        <w:pStyle w:val="1"/>
        <w:numPr>
          <w:ilvl w:val="0"/>
          <w:numId w:val="3"/>
        </w:numPr>
        <w:tabs>
          <w:tab w:val="left" w:pos="851"/>
        </w:tabs>
        <w:spacing w:before="60" w:after="60" w:line="240" w:lineRule="auto"/>
        <w:ind w:left="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забезпечення їжею та водою (</w:t>
      </w:r>
      <w:r w:rsidRPr="00B140B4">
        <w:rPr>
          <w:rFonts w:ascii="Times New Roman" w:eastAsia="Times New Roman" w:hAnsi="Times New Roman"/>
          <w:i/>
          <w:sz w:val="28"/>
          <w:szCs w:val="28"/>
          <w:lang w:val="uk-UA" w:eastAsia="ru-RU"/>
        </w:rPr>
        <w:t>пункти 14 – 18 Додатку до Директиви 98/58/ЄС</w:t>
      </w:r>
      <w:r w:rsidRPr="00B140B4">
        <w:rPr>
          <w:rFonts w:ascii="Times New Roman" w:eastAsia="Times New Roman" w:hAnsi="Times New Roman"/>
          <w:sz w:val="28"/>
          <w:szCs w:val="28"/>
          <w:lang w:val="uk-UA" w:eastAsia="ru-RU"/>
        </w:rPr>
        <w:t xml:space="preserve">). </w:t>
      </w:r>
    </w:p>
    <w:p w:rsidR="00B8073D" w:rsidRPr="00B140B4" w:rsidRDefault="000D567E"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hAnsi="Times New Roman"/>
          <w:sz w:val="28"/>
          <w:szCs w:val="28"/>
          <w:lang w:val="uk-UA"/>
        </w:rPr>
        <w:t xml:space="preserve">Варто </w:t>
      </w:r>
      <w:r w:rsidR="00B8073D" w:rsidRPr="00B140B4">
        <w:rPr>
          <w:rFonts w:ascii="Times New Roman" w:eastAsia="Times New Roman" w:hAnsi="Times New Roman"/>
          <w:sz w:val="28"/>
          <w:szCs w:val="28"/>
          <w:lang w:val="uk-UA" w:eastAsia="ru-RU"/>
        </w:rPr>
        <w:t xml:space="preserve">зазначити, що наказом Міністерства аграрної політики України від 20.06.2008 р. № 379 були затверджені Методичні рекомендації з утримання хутрових тварин, основним завданням яких є забезпечення основних умов для  збереження  здоров’я та добробуту утримуваних хутрових тварин, та які загалом відповідають вимогам </w:t>
      </w:r>
      <w:r w:rsidR="00B8073D" w:rsidRPr="00B140B4">
        <w:rPr>
          <w:rFonts w:ascii="Times New Roman" w:eastAsia="Times New Roman" w:hAnsi="Times New Roman"/>
          <w:i/>
          <w:sz w:val="28"/>
          <w:szCs w:val="28"/>
          <w:lang w:val="uk-UA" w:eastAsia="ru-RU"/>
        </w:rPr>
        <w:t>Директиви 98/58/ЄС</w:t>
      </w:r>
      <w:r w:rsidR="00B8073D" w:rsidRPr="00B140B4">
        <w:rPr>
          <w:rFonts w:ascii="Times New Roman" w:eastAsia="Times New Roman" w:hAnsi="Times New Roman"/>
          <w:sz w:val="28"/>
          <w:szCs w:val="28"/>
          <w:lang w:val="uk-UA" w:eastAsia="ru-RU"/>
        </w:rPr>
        <w:t xml:space="preserve"> та </w:t>
      </w:r>
      <w:r w:rsidR="00B8073D" w:rsidRPr="00B140B4">
        <w:rPr>
          <w:rFonts w:ascii="Times New Roman" w:eastAsia="Times New Roman" w:hAnsi="Times New Roman"/>
          <w:i/>
          <w:sz w:val="28"/>
          <w:szCs w:val="28"/>
          <w:lang w:val="uk-UA" w:eastAsia="ru-RU"/>
        </w:rPr>
        <w:t>Регламенту № 1099/2009</w:t>
      </w:r>
      <w:r w:rsidR="00B8073D" w:rsidRPr="00B140B4">
        <w:rPr>
          <w:rFonts w:ascii="Times New Roman" w:eastAsia="Times New Roman" w:hAnsi="Times New Roman"/>
          <w:sz w:val="28"/>
          <w:szCs w:val="28"/>
          <w:lang w:val="uk-UA" w:eastAsia="ru-RU"/>
        </w:rPr>
        <w:t xml:space="preserve">.    </w:t>
      </w:r>
    </w:p>
    <w:p w:rsidR="006C42EE" w:rsidRPr="00B140B4" w:rsidRDefault="006C42EE"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Серед іншого, у законопроекті пропонується внести зміни до Закону України «Про захист тварин від жорстокого поводження», передбачивши визначення терміну «хутрові тварини». </w:t>
      </w:r>
    </w:p>
    <w:p w:rsidR="00B8073D" w:rsidRPr="00B140B4" w:rsidRDefault="006C42EE"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У зв’язку з цим,  </w:t>
      </w:r>
      <w:r w:rsidR="00B8073D" w:rsidRPr="00B140B4">
        <w:rPr>
          <w:rFonts w:ascii="Times New Roman" w:eastAsia="Times New Roman" w:hAnsi="Times New Roman"/>
          <w:sz w:val="28"/>
          <w:szCs w:val="28"/>
          <w:lang w:val="uk-UA" w:eastAsia="ru-RU"/>
        </w:rPr>
        <w:t xml:space="preserve">необхідно звернути увагу на визначення понять «тварина» та «хутрові тварини», що містяться у </w:t>
      </w:r>
      <w:r w:rsidR="00B8073D" w:rsidRPr="00B140B4">
        <w:rPr>
          <w:rFonts w:ascii="Times New Roman" w:eastAsia="Times New Roman" w:hAnsi="Times New Roman"/>
          <w:i/>
          <w:sz w:val="28"/>
          <w:szCs w:val="28"/>
          <w:lang w:val="uk-UA" w:eastAsia="ru-RU"/>
        </w:rPr>
        <w:t>Директиві 98/58/ЄС</w:t>
      </w:r>
      <w:r w:rsidR="00B8073D" w:rsidRPr="00B140B4">
        <w:rPr>
          <w:rFonts w:ascii="Times New Roman" w:eastAsia="Times New Roman" w:hAnsi="Times New Roman"/>
          <w:sz w:val="28"/>
          <w:szCs w:val="28"/>
          <w:lang w:val="uk-UA" w:eastAsia="ru-RU"/>
        </w:rPr>
        <w:t xml:space="preserve"> та </w:t>
      </w:r>
      <w:r w:rsidR="00B8073D" w:rsidRPr="00B140B4">
        <w:rPr>
          <w:rFonts w:ascii="Times New Roman" w:eastAsia="Times New Roman" w:hAnsi="Times New Roman"/>
          <w:i/>
          <w:sz w:val="28"/>
          <w:szCs w:val="28"/>
          <w:lang w:val="uk-UA" w:eastAsia="ru-RU"/>
        </w:rPr>
        <w:t>Регламенті № 1099/2009</w:t>
      </w:r>
      <w:r w:rsidR="00B8073D" w:rsidRPr="00B140B4">
        <w:rPr>
          <w:rFonts w:ascii="Times New Roman" w:eastAsia="Times New Roman" w:hAnsi="Times New Roman"/>
          <w:sz w:val="28"/>
          <w:szCs w:val="28"/>
          <w:lang w:val="uk-UA" w:eastAsia="ru-RU"/>
        </w:rPr>
        <w:t xml:space="preserve">. </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Так, відповідно до </w:t>
      </w:r>
      <w:r w:rsidRPr="00B140B4">
        <w:rPr>
          <w:rFonts w:ascii="Times New Roman" w:eastAsia="Times New Roman" w:hAnsi="Times New Roman"/>
          <w:i/>
          <w:sz w:val="28"/>
          <w:szCs w:val="28"/>
          <w:lang w:val="uk-UA" w:eastAsia="ru-RU"/>
        </w:rPr>
        <w:t>статті 2 Директиви 98/58/ЄС</w:t>
      </w:r>
      <w:r w:rsidRPr="00B140B4">
        <w:rPr>
          <w:rFonts w:ascii="Times New Roman" w:eastAsia="Times New Roman" w:hAnsi="Times New Roman"/>
          <w:sz w:val="28"/>
          <w:szCs w:val="28"/>
          <w:lang w:val="uk-UA" w:eastAsia="ru-RU"/>
        </w:rPr>
        <w:t xml:space="preserve"> «тварина» визначається як будь-яка тварина (включаючи риб, рептилій та амфібій), що розводиться або утримується для виробництва харчових продуктів, шерсті, шкіри, </w:t>
      </w:r>
      <w:r w:rsidRPr="00B140B4">
        <w:rPr>
          <w:rFonts w:ascii="Times New Roman" w:eastAsia="Times New Roman" w:hAnsi="Times New Roman"/>
          <w:i/>
          <w:sz w:val="28"/>
          <w:szCs w:val="28"/>
          <w:lang w:val="uk-UA" w:eastAsia="ru-RU"/>
        </w:rPr>
        <w:t>хутра</w:t>
      </w:r>
      <w:r w:rsidRPr="00B140B4">
        <w:rPr>
          <w:rFonts w:ascii="Times New Roman" w:eastAsia="Times New Roman" w:hAnsi="Times New Roman"/>
          <w:sz w:val="28"/>
          <w:szCs w:val="28"/>
          <w:lang w:val="uk-UA" w:eastAsia="ru-RU"/>
        </w:rPr>
        <w:t xml:space="preserve"> або для інших сільськогосподарських потреб.   </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Відповідно до </w:t>
      </w:r>
      <w:r w:rsidRPr="00B140B4">
        <w:rPr>
          <w:rFonts w:ascii="Times New Roman" w:eastAsia="Times New Roman" w:hAnsi="Times New Roman"/>
          <w:i/>
          <w:sz w:val="28"/>
          <w:szCs w:val="28"/>
          <w:lang w:val="uk-UA" w:eastAsia="ru-RU"/>
        </w:rPr>
        <w:t>статті 2 Регламенту № 1099/2009</w:t>
      </w:r>
      <w:r w:rsidRPr="00B140B4">
        <w:rPr>
          <w:rFonts w:ascii="Times New Roman" w:eastAsia="Times New Roman" w:hAnsi="Times New Roman"/>
          <w:sz w:val="28"/>
          <w:szCs w:val="28"/>
          <w:lang w:val="uk-UA" w:eastAsia="ru-RU"/>
        </w:rPr>
        <w:t xml:space="preserve"> поняття «хутрові тварини» означає тварин виду ссавців, які перед усім вирощуються для виробництва хутра, такими тваринами є: норки, тхори чорні, лисиці, єноти, нутрії, </w:t>
      </w:r>
      <w:proofErr w:type="spellStart"/>
      <w:r w:rsidRPr="00B140B4">
        <w:rPr>
          <w:rFonts w:ascii="Times New Roman" w:eastAsia="Times New Roman" w:hAnsi="Times New Roman"/>
          <w:sz w:val="28"/>
          <w:szCs w:val="28"/>
          <w:lang w:val="uk-UA" w:eastAsia="ru-RU"/>
        </w:rPr>
        <w:t>шиншили</w:t>
      </w:r>
      <w:proofErr w:type="spellEnd"/>
      <w:r w:rsidRPr="00B140B4">
        <w:rPr>
          <w:rFonts w:ascii="Times New Roman" w:eastAsia="Times New Roman" w:hAnsi="Times New Roman"/>
          <w:sz w:val="28"/>
          <w:szCs w:val="28"/>
          <w:lang w:val="uk-UA" w:eastAsia="ru-RU"/>
        </w:rPr>
        <w:t>.</w:t>
      </w:r>
    </w:p>
    <w:p w:rsidR="00B8073D" w:rsidRPr="00B140B4" w:rsidRDefault="006C42EE"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Враховуючи вищенаведене,</w:t>
      </w:r>
      <w:r w:rsidR="00B8073D" w:rsidRPr="00B140B4">
        <w:rPr>
          <w:rFonts w:ascii="Times New Roman" w:eastAsia="Times New Roman" w:hAnsi="Times New Roman"/>
          <w:sz w:val="28"/>
          <w:szCs w:val="28"/>
          <w:lang w:val="uk-UA" w:eastAsia="ru-RU"/>
        </w:rPr>
        <w:t xml:space="preserve"> необхідно зауважити, що запропоноване у проекті Закону визначення поняття «хутрові тварини» – «</w:t>
      </w:r>
      <w:r w:rsidR="000D567E" w:rsidRPr="00B140B4">
        <w:rPr>
          <w:rFonts w:ascii="Times New Roman" w:hAnsi="Times New Roman"/>
          <w:sz w:val="28"/>
          <w:szCs w:val="28"/>
          <w:lang w:val="uk-UA"/>
        </w:rPr>
        <w:t>сільськогосподарські тварини, до яких відносяться кролі та будь-які непродуктивні тварини, які розводяться, вирощуються або утримуються з метою виробництва хутра та не призначені для споживання людиною</w:t>
      </w:r>
      <w:r w:rsidR="00B8073D" w:rsidRPr="00B140B4">
        <w:rPr>
          <w:rFonts w:ascii="Times New Roman" w:eastAsia="Times New Roman" w:hAnsi="Times New Roman"/>
          <w:sz w:val="28"/>
          <w:szCs w:val="28"/>
          <w:lang w:val="uk-UA" w:eastAsia="ru-RU"/>
        </w:rPr>
        <w:t xml:space="preserve">» – не відповідає положенням </w:t>
      </w:r>
      <w:r w:rsidR="00B8073D" w:rsidRPr="00B140B4">
        <w:rPr>
          <w:rFonts w:ascii="Times New Roman" w:eastAsia="Times New Roman" w:hAnsi="Times New Roman"/>
          <w:i/>
          <w:sz w:val="28"/>
          <w:szCs w:val="28"/>
          <w:lang w:val="uk-UA" w:eastAsia="ru-RU"/>
        </w:rPr>
        <w:t>Директиви 98/58/ЄС</w:t>
      </w:r>
      <w:r w:rsidR="00B8073D" w:rsidRPr="00B140B4">
        <w:rPr>
          <w:rFonts w:ascii="Times New Roman" w:eastAsia="Times New Roman" w:hAnsi="Times New Roman"/>
          <w:sz w:val="28"/>
          <w:szCs w:val="28"/>
          <w:lang w:val="uk-UA" w:eastAsia="ru-RU"/>
        </w:rPr>
        <w:t xml:space="preserve"> та </w:t>
      </w:r>
      <w:r w:rsidR="00B8073D" w:rsidRPr="00B140B4">
        <w:rPr>
          <w:rFonts w:ascii="Times New Roman" w:eastAsia="Times New Roman" w:hAnsi="Times New Roman"/>
          <w:i/>
          <w:sz w:val="28"/>
          <w:szCs w:val="28"/>
          <w:lang w:val="uk-UA" w:eastAsia="ru-RU"/>
        </w:rPr>
        <w:t>Регламенту № 1099/2009</w:t>
      </w:r>
      <w:r w:rsidR="00B8073D" w:rsidRPr="00B140B4">
        <w:rPr>
          <w:rFonts w:ascii="Times New Roman" w:eastAsia="Times New Roman" w:hAnsi="Times New Roman"/>
          <w:sz w:val="28"/>
          <w:szCs w:val="28"/>
          <w:lang w:val="uk-UA" w:eastAsia="ru-RU"/>
        </w:rPr>
        <w:t xml:space="preserve">. </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Принагідно можна зазначити, що у частині 1 статті 1 Закону України «Про безпечність та гігієну кормів» вже визначено поняття «хутрові тварини» – це «будь-які непродуктивні тварини, які вигодовуються, вирощуються та утримуються для виробництва хутра та не використовуються для споживання людиною».  </w:t>
      </w:r>
    </w:p>
    <w:p w:rsidR="00B8073D" w:rsidRPr="00B140B4" w:rsidRDefault="00B8073D" w:rsidP="00B8073D">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Пропозиція, що міститься у законопроекті, щодо доповнення статті 3 Закону України «Про охорону навколишнього природного середовища», в якій перелічуються основні принципи охорони навколишнього природного середовища новим «принципом» щодо «</w:t>
      </w:r>
      <w:r w:rsidR="000D567E" w:rsidRPr="00B140B4">
        <w:rPr>
          <w:rFonts w:ascii="Times New Roman" w:hAnsi="Times New Roman"/>
          <w:sz w:val="28"/>
          <w:szCs w:val="28"/>
          <w:lang w:val="uk-UA"/>
        </w:rPr>
        <w:t>відповідності господарської діяльності з розведення, вирощування та/або утримання хутрових тварин з метою виробництва хутра вимогам, затвердженим центральним органом виконавчої влади, що забезпечує формування державної політики у сфері тваринництва</w:t>
      </w:r>
      <w:r w:rsidRPr="00B140B4">
        <w:rPr>
          <w:rFonts w:ascii="Times New Roman" w:eastAsia="Times New Roman" w:hAnsi="Times New Roman"/>
          <w:sz w:val="28"/>
          <w:szCs w:val="28"/>
          <w:lang w:val="uk-UA" w:eastAsia="ru-RU"/>
        </w:rPr>
        <w:t xml:space="preserve">» є недоцільним, адже таке доповнення стосується лише хутрових тварин, що є некоректним стосовно всіх інших видів тварин. </w:t>
      </w:r>
    </w:p>
    <w:p w:rsidR="00B140B4" w:rsidRPr="00B140B4" w:rsidRDefault="00B8073D" w:rsidP="00B140B4">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Також у законопроекті пропонується внести зміни до Закону України «Про оцінку впливу на довкілля», передбачивши, що друга категорі</w:t>
      </w:r>
      <w:r w:rsidR="000D567E" w:rsidRPr="00B140B4">
        <w:rPr>
          <w:rFonts w:ascii="Times New Roman" w:eastAsia="Times New Roman" w:hAnsi="Times New Roman"/>
          <w:sz w:val="28"/>
          <w:szCs w:val="28"/>
          <w:lang w:val="uk-UA" w:eastAsia="ru-RU"/>
        </w:rPr>
        <w:t>я</w:t>
      </w:r>
      <w:r w:rsidRPr="00B140B4">
        <w:rPr>
          <w:rFonts w:ascii="Times New Roman" w:eastAsia="Times New Roman" w:hAnsi="Times New Roman"/>
          <w:sz w:val="28"/>
          <w:szCs w:val="28"/>
          <w:lang w:val="uk-UA" w:eastAsia="ru-RU"/>
        </w:rPr>
        <w:t xml:space="preserve"> видів планової діяльності та об’єктів, які можуть мати знач</w:t>
      </w:r>
      <w:r w:rsidR="000D567E" w:rsidRPr="00B140B4">
        <w:rPr>
          <w:rFonts w:ascii="Times New Roman" w:eastAsia="Times New Roman" w:hAnsi="Times New Roman"/>
          <w:sz w:val="28"/>
          <w:szCs w:val="28"/>
          <w:lang w:val="uk-UA" w:eastAsia="ru-RU"/>
        </w:rPr>
        <w:t>ний вплив на довкілля та</w:t>
      </w:r>
      <w:r w:rsidRPr="00B140B4">
        <w:rPr>
          <w:rFonts w:ascii="Times New Roman" w:eastAsia="Times New Roman" w:hAnsi="Times New Roman"/>
          <w:sz w:val="28"/>
          <w:szCs w:val="28"/>
          <w:lang w:val="uk-UA" w:eastAsia="ru-RU"/>
        </w:rPr>
        <w:t xml:space="preserve"> підлягають оцінці впливу на довкілля, включа</w:t>
      </w:r>
      <w:r w:rsidR="00BE74A8" w:rsidRPr="00B140B4">
        <w:rPr>
          <w:rFonts w:ascii="Times New Roman" w:eastAsia="Times New Roman" w:hAnsi="Times New Roman"/>
          <w:sz w:val="28"/>
          <w:szCs w:val="28"/>
          <w:lang w:val="uk-UA" w:eastAsia="ru-RU"/>
        </w:rPr>
        <w:t>є</w:t>
      </w:r>
      <w:r w:rsidRPr="00B140B4">
        <w:rPr>
          <w:rFonts w:ascii="Times New Roman" w:eastAsia="Times New Roman" w:hAnsi="Times New Roman"/>
          <w:sz w:val="28"/>
          <w:szCs w:val="28"/>
          <w:lang w:val="uk-UA" w:eastAsia="ru-RU"/>
        </w:rPr>
        <w:t xml:space="preserve"> потужності для вирощування хутрових тварин </w:t>
      </w:r>
      <w:r w:rsidRPr="00B140B4">
        <w:rPr>
          <w:rFonts w:ascii="Times New Roman" w:eastAsia="Times New Roman" w:hAnsi="Times New Roman"/>
          <w:sz w:val="28"/>
          <w:szCs w:val="28"/>
          <w:lang w:val="uk-UA" w:eastAsia="ru-RU"/>
        </w:rPr>
        <w:lastRenderedPageBreak/>
        <w:t>(</w:t>
      </w:r>
      <w:r w:rsidR="00BE74A8" w:rsidRPr="00B140B4">
        <w:rPr>
          <w:rFonts w:ascii="Times New Roman" w:eastAsia="Times New Roman" w:hAnsi="Times New Roman"/>
          <w:sz w:val="28"/>
          <w:szCs w:val="28"/>
          <w:lang w:val="uk-UA" w:eastAsia="ru-RU"/>
        </w:rPr>
        <w:t xml:space="preserve">більше </w:t>
      </w:r>
      <w:r w:rsidRPr="00B140B4">
        <w:rPr>
          <w:rFonts w:ascii="Times New Roman" w:eastAsia="Times New Roman" w:hAnsi="Times New Roman"/>
          <w:sz w:val="28"/>
          <w:szCs w:val="28"/>
          <w:lang w:val="uk-UA" w:eastAsia="ru-RU"/>
        </w:rPr>
        <w:t>1 тисячі голів</w:t>
      </w:r>
      <w:r w:rsidR="00BE74A8" w:rsidRPr="00B140B4">
        <w:rPr>
          <w:rFonts w:ascii="Times New Roman" w:eastAsia="Times New Roman" w:hAnsi="Times New Roman"/>
          <w:sz w:val="28"/>
          <w:szCs w:val="28"/>
          <w:lang w:val="uk-UA" w:eastAsia="ru-RU"/>
        </w:rPr>
        <w:t xml:space="preserve"> основного стада</w:t>
      </w:r>
      <w:r w:rsidRPr="00B140B4">
        <w:rPr>
          <w:rFonts w:ascii="Times New Roman" w:eastAsia="Times New Roman" w:hAnsi="Times New Roman"/>
          <w:sz w:val="28"/>
          <w:szCs w:val="28"/>
          <w:lang w:val="uk-UA" w:eastAsia="ru-RU"/>
        </w:rPr>
        <w:t>). Втім, така пропозиція потребує доопрацювання</w:t>
      </w:r>
      <w:r w:rsidR="00BE74A8" w:rsidRPr="00B140B4">
        <w:rPr>
          <w:rFonts w:ascii="Times New Roman" w:eastAsia="Times New Roman" w:hAnsi="Times New Roman"/>
          <w:sz w:val="28"/>
          <w:szCs w:val="28"/>
          <w:lang w:val="uk-UA" w:eastAsia="ru-RU"/>
        </w:rPr>
        <w:t>, оскільки</w:t>
      </w:r>
      <w:r w:rsidR="00B140B4" w:rsidRPr="00B140B4">
        <w:rPr>
          <w:rFonts w:ascii="Times New Roman" w:eastAsia="Times New Roman" w:hAnsi="Times New Roman"/>
          <w:sz w:val="28"/>
          <w:szCs w:val="28"/>
          <w:lang w:val="uk-UA" w:eastAsia="ru-RU"/>
        </w:rPr>
        <w:t xml:space="preserve"> допускає </w:t>
      </w:r>
      <w:proofErr w:type="spellStart"/>
      <w:r w:rsidR="00B140B4" w:rsidRPr="00B140B4">
        <w:rPr>
          <w:rFonts w:ascii="Times New Roman" w:eastAsia="Times New Roman" w:hAnsi="Times New Roman"/>
          <w:sz w:val="28"/>
          <w:szCs w:val="28"/>
          <w:lang w:val="uk-UA" w:eastAsia="ru-RU"/>
        </w:rPr>
        <w:t>різнотлумачення</w:t>
      </w:r>
      <w:proofErr w:type="spellEnd"/>
      <w:r w:rsidR="00B140B4" w:rsidRPr="00B140B4">
        <w:rPr>
          <w:rFonts w:ascii="Times New Roman" w:eastAsia="Times New Roman" w:hAnsi="Times New Roman"/>
          <w:sz w:val="28"/>
          <w:szCs w:val="28"/>
          <w:lang w:val="uk-UA" w:eastAsia="ru-RU"/>
        </w:rPr>
        <w:t xml:space="preserve"> та</w:t>
      </w:r>
      <w:r w:rsidR="00BE74A8" w:rsidRPr="00B140B4">
        <w:rPr>
          <w:rFonts w:ascii="Times New Roman" w:eastAsia="Times New Roman" w:hAnsi="Times New Roman"/>
          <w:sz w:val="28"/>
          <w:szCs w:val="28"/>
          <w:lang w:val="uk-UA" w:eastAsia="ru-RU"/>
        </w:rPr>
        <w:t xml:space="preserve"> </w:t>
      </w:r>
      <w:r w:rsidR="000D567E" w:rsidRPr="00B140B4">
        <w:rPr>
          <w:rFonts w:ascii="Times New Roman" w:eastAsia="Times New Roman" w:hAnsi="Times New Roman"/>
          <w:sz w:val="28"/>
          <w:szCs w:val="28"/>
          <w:lang w:val="uk-UA" w:eastAsia="ru-RU"/>
        </w:rPr>
        <w:t>не відповіда</w:t>
      </w:r>
      <w:r w:rsidR="00BE74A8" w:rsidRPr="00B140B4">
        <w:rPr>
          <w:rFonts w:ascii="Times New Roman" w:eastAsia="Times New Roman" w:hAnsi="Times New Roman"/>
          <w:sz w:val="28"/>
          <w:szCs w:val="28"/>
          <w:lang w:val="uk-UA" w:eastAsia="ru-RU"/>
        </w:rPr>
        <w:t>є</w:t>
      </w:r>
      <w:r w:rsidR="000D567E" w:rsidRPr="00B140B4">
        <w:rPr>
          <w:rFonts w:ascii="Times New Roman" w:eastAsia="Times New Roman" w:hAnsi="Times New Roman"/>
          <w:sz w:val="28"/>
          <w:szCs w:val="28"/>
          <w:lang w:val="uk-UA" w:eastAsia="ru-RU"/>
        </w:rPr>
        <w:t xml:space="preserve"> </w:t>
      </w:r>
      <w:r w:rsidR="000D567E" w:rsidRPr="00B140B4">
        <w:rPr>
          <w:rFonts w:ascii="Times New Roman" w:eastAsia="Times New Roman" w:hAnsi="Times New Roman"/>
          <w:i/>
          <w:sz w:val="28"/>
          <w:szCs w:val="28"/>
          <w:lang w:val="uk-UA" w:eastAsia="ru-RU"/>
        </w:rPr>
        <w:t>принципу правової визначеності</w:t>
      </w:r>
      <w:r w:rsidR="00BE74A8" w:rsidRPr="00B140B4">
        <w:rPr>
          <w:rFonts w:ascii="Times New Roman" w:eastAsia="Times New Roman" w:hAnsi="Times New Roman"/>
          <w:sz w:val="28"/>
          <w:szCs w:val="28"/>
          <w:lang w:val="uk-UA" w:eastAsia="ru-RU"/>
        </w:rPr>
        <w:t xml:space="preserve"> </w:t>
      </w:r>
      <w:r w:rsidR="00B140B4" w:rsidRPr="00B140B4">
        <w:rPr>
          <w:rFonts w:ascii="Times New Roman" w:eastAsia="Times New Roman" w:hAnsi="Times New Roman"/>
          <w:sz w:val="28"/>
          <w:szCs w:val="28"/>
          <w:lang w:val="uk-UA" w:eastAsia="ru-RU"/>
        </w:rPr>
        <w:t>(«</w:t>
      </w:r>
      <w:proofErr w:type="spellStart"/>
      <w:r w:rsidR="00B140B4" w:rsidRPr="00B140B4">
        <w:rPr>
          <w:rFonts w:ascii="Times New Roman" w:eastAsia="Times New Roman" w:hAnsi="Times New Roman"/>
          <w:sz w:val="28"/>
          <w:szCs w:val="28"/>
          <w:lang w:val="uk-UA" w:eastAsia="ru-RU"/>
        </w:rPr>
        <w:t>legal</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certainty</w:t>
      </w:r>
      <w:proofErr w:type="spellEnd"/>
      <w:r w:rsidR="00B140B4" w:rsidRPr="00B140B4">
        <w:rPr>
          <w:rFonts w:ascii="Times New Roman" w:eastAsia="Times New Roman" w:hAnsi="Times New Roman"/>
          <w:sz w:val="28"/>
          <w:szCs w:val="28"/>
          <w:lang w:val="uk-UA" w:eastAsia="ru-RU"/>
        </w:rPr>
        <w:t xml:space="preserve">»), згідно з яким передбачуваність, несуперечливість та узгодженість формулювання норм є однією з обов’язкових умов для створення якісного та дієвого законодавства (рішення Суду ЄС у справі C-110/03 </w:t>
      </w:r>
      <w:proofErr w:type="spellStart"/>
      <w:r w:rsidR="00B140B4" w:rsidRPr="00B140B4">
        <w:rPr>
          <w:rFonts w:ascii="Times New Roman" w:eastAsia="Times New Roman" w:hAnsi="Times New Roman"/>
          <w:sz w:val="28"/>
          <w:szCs w:val="28"/>
          <w:lang w:val="uk-UA" w:eastAsia="ru-RU"/>
        </w:rPr>
        <w:t>Kingdom</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of</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Belgium</w:t>
      </w:r>
      <w:proofErr w:type="spellEnd"/>
      <w:r w:rsidR="00B140B4" w:rsidRPr="00B140B4">
        <w:rPr>
          <w:rFonts w:ascii="Times New Roman" w:eastAsia="Times New Roman" w:hAnsi="Times New Roman"/>
          <w:sz w:val="28"/>
          <w:szCs w:val="28"/>
          <w:lang w:val="uk-UA" w:eastAsia="ru-RU"/>
        </w:rPr>
        <w:t xml:space="preserve"> v </w:t>
      </w:r>
      <w:proofErr w:type="spellStart"/>
      <w:r w:rsidR="00B140B4" w:rsidRPr="00B140B4">
        <w:rPr>
          <w:rFonts w:ascii="Times New Roman" w:eastAsia="Times New Roman" w:hAnsi="Times New Roman"/>
          <w:sz w:val="28"/>
          <w:szCs w:val="28"/>
          <w:lang w:val="uk-UA" w:eastAsia="ru-RU"/>
        </w:rPr>
        <w:t>Commission</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of</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the</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European</w:t>
      </w:r>
      <w:proofErr w:type="spellEnd"/>
      <w:r w:rsidR="00B140B4" w:rsidRPr="00B140B4">
        <w:rPr>
          <w:rFonts w:ascii="Times New Roman" w:eastAsia="Times New Roman" w:hAnsi="Times New Roman"/>
          <w:sz w:val="28"/>
          <w:szCs w:val="28"/>
          <w:lang w:val="uk-UA" w:eastAsia="ru-RU"/>
        </w:rPr>
        <w:t xml:space="preserve"> </w:t>
      </w:r>
      <w:proofErr w:type="spellStart"/>
      <w:r w:rsidR="00B140B4" w:rsidRPr="00B140B4">
        <w:rPr>
          <w:rFonts w:ascii="Times New Roman" w:eastAsia="Times New Roman" w:hAnsi="Times New Roman"/>
          <w:sz w:val="28"/>
          <w:szCs w:val="28"/>
          <w:lang w:val="uk-UA" w:eastAsia="ru-RU"/>
        </w:rPr>
        <w:t>Communities</w:t>
      </w:r>
      <w:proofErr w:type="spellEnd"/>
      <w:r w:rsidR="00B140B4" w:rsidRPr="00B140B4">
        <w:rPr>
          <w:rFonts w:ascii="Times New Roman" w:eastAsia="Times New Roman" w:hAnsi="Times New Roman"/>
          <w:sz w:val="28"/>
          <w:szCs w:val="28"/>
          <w:lang w:val="uk-UA" w:eastAsia="ru-RU"/>
        </w:rPr>
        <w:t xml:space="preserve"> (2005), ECR-I-2801). Дотримання цього принципу є необхідним для належного функціонування правової системи держави. Крім того, національне законодавство держав-членів ЄС, яким </w:t>
      </w:r>
      <w:proofErr w:type="spellStart"/>
      <w:r w:rsidR="00B140B4" w:rsidRPr="00B140B4">
        <w:rPr>
          <w:rFonts w:ascii="Times New Roman" w:eastAsia="Times New Roman" w:hAnsi="Times New Roman"/>
          <w:sz w:val="28"/>
          <w:szCs w:val="28"/>
          <w:lang w:val="uk-UA" w:eastAsia="ru-RU"/>
        </w:rPr>
        <w:t>імплементуються</w:t>
      </w:r>
      <w:proofErr w:type="spellEnd"/>
      <w:r w:rsidR="00B140B4" w:rsidRPr="00B140B4">
        <w:rPr>
          <w:rFonts w:ascii="Times New Roman" w:eastAsia="Times New Roman" w:hAnsi="Times New Roman"/>
          <w:sz w:val="28"/>
          <w:szCs w:val="28"/>
          <w:lang w:val="uk-UA" w:eastAsia="ru-RU"/>
        </w:rPr>
        <w:t xml:space="preserve"> норми права ЄС, повинно </w:t>
      </w:r>
      <w:proofErr w:type="spellStart"/>
      <w:r w:rsidR="00B140B4" w:rsidRPr="00B140B4">
        <w:rPr>
          <w:rFonts w:ascii="Times New Roman" w:eastAsia="Times New Roman" w:hAnsi="Times New Roman"/>
          <w:sz w:val="28"/>
          <w:szCs w:val="28"/>
          <w:lang w:val="uk-UA" w:eastAsia="ru-RU"/>
        </w:rPr>
        <w:t>формулюватися</w:t>
      </w:r>
      <w:proofErr w:type="spellEnd"/>
      <w:r w:rsidR="00B140B4" w:rsidRPr="00B140B4">
        <w:rPr>
          <w:rFonts w:ascii="Times New Roman" w:eastAsia="Times New Roman" w:hAnsi="Times New Roman"/>
          <w:sz w:val="28"/>
          <w:szCs w:val="28"/>
          <w:lang w:val="uk-UA" w:eastAsia="ru-RU"/>
        </w:rPr>
        <w:t xml:space="preserve"> у спосіб, що передбачає його чітке розуміння тими суб’єктами, права і обов’язки яких ним визначаються (рішення Суду ЄС у справі С-257/86 </w:t>
      </w:r>
      <w:proofErr w:type="spellStart"/>
      <w:r w:rsidR="00B140B4" w:rsidRPr="00B140B4">
        <w:rPr>
          <w:rFonts w:ascii="Times New Roman" w:eastAsia="Times New Roman" w:hAnsi="Times New Roman"/>
          <w:sz w:val="28"/>
          <w:szCs w:val="28"/>
          <w:lang w:val="uk-UA" w:eastAsia="ru-RU"/>
        </w:rPr>
        <w:t>Commission</w:t>
      </w:r>
      <w:proofErr w:type="spellEnd"/>
      <w:r w:rsidR="00B140B4" w:rsidRPr="00B140B4">
        <w:rPr>
          <w:rFonts w:ascii="Times New Roman" w:eastAsia="Times New Roman" w:hAnsi="Times New Roman"/>
          <w:sz w:val="28"/>
          <w:szCs w:val="28"/>
          <w:lang w:val="uk-UA" w:eastAsia="ru-RU"/>
        </w:rPr>
        <w:t xml:space="preserve"> v. </w:t>
      </w:r>
      <w:proofErr w:type="spellStart"/>
      <w:r w:rsidR="00B140B4" w:rsidRPr="00B140B4">
        <w:rPr>
          <w:rFonts w:ascii="Times New Roman" w:eastAsia="Times New Roman" w:hAnsi="Times New Roman"/>
          <w:sz w:val="28"/>
          <w:szCs w:val="28"/>
          <w:lang w:val="uk-UA" w:eastAsia="ru-RU"/>
        </w:rPr>
        <w:t>Italy</w:t>
      </w:r>
      <w:proofErr w:type="spellEnd"/>
      <w:r w:rsidR="00B140B4" w:rsidRPr="00B140B4">
        <w:rPr>
          <w:rFonts w:ascii="Times New Roman" w:eastAsia="Times New Roman" w:hAnsi="Times New Roman"/>
          <w:sz w:val="28"/>
          <w:szCs w:val="28"/>
          <w:lang w:val="uk-UA" w:eastAsia="ru-RU"/>
        </w:rPr>
        <w:t xml:space="preserve"> </w:t>
      </w:r>
      <w:r w:rsidR="00B140B4">
        <w:rPr>
          <w:rFonts w:ascii="Times New Roman" w:eastAsia="Times New Roman" w:hAnsi="Times New Roman"/>
          <w:sz w:val="28"/>
          <w:szCs w:val="28"/>
          <w:lang w:val="uk-UA" w:eastAsia="ru-RU"/>
        </w:rPr>
        <w:t>(</w:t>
      </w:r>
      <w:r w:rsidR="00B140B4" w:rsidRPr="00B140B4">
        <w:rPr>
          <w:rFonts w:ascii="Times New Roman" w:eastAsia="Times New Roman" w:hAnsi="Times New Roman"/>
          <w:sz w:val="28"/>
          <w:szCs w:val="28"/>
          <w:lang w:val="uk-UA" w:eastAsia="ru-RU"/>
        </w:rPr>
        <w:t>1988</w:t>
      </w:r>
      <w:r w:rsidR="00B140B4">
        <w:rPr>
          <w:rFonts w:ascii="Times New Roman" w:eastAsia="Times New Roman" w:hAnsi="Times New Roman"/>
          <w:sz w:val="28"/>
          <w:szCs w:val="28"/>
          <w:lang w:val="uk-UA" w:eastAsia="ru-RU"/>
        </w:rPr>
        <w:t>)</w:t>
      </w:r>
      <w:r w:rsidR="00B140B4" w:rsidRPr="00B140B4">
        <w:rPr>
          <w:rFonts w:ascii="Times New Roman" w:eastAsia="Times New Roman" w:hAnsi="Times New Roman"/>
          <w:sz w:val="28"/>
          <w:szCs w:val="28"/>
          <w:lang w:val="uk-UA" w:eastAsia="ru-RU"/>
        </w:rPr>
        <w:t xml:space="preserve"> ECR 3249).</w:t>
      </w:r>
    </w:p>
    <w:p w:rsidR="00B8073D" w:rsidRPr="00B140B4" w:rsidRDefault="00B8073D" w:rsidP="00B140B4">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B140B4">
        <w:rPr>
          <w:rFonts w:ascii="Times New Roman" w:eastAsia="Times New Roman" w:hAnsi="Times New Roman"/>
          <w:sz w:val="28"/>
          <w:szCs w:val="28"/>
          <w:lang w:val="uk-UA" w:eastAsia="ru-RU"/>
        </w:rPr>
        <w:t xml:space="preserve">Враховуючи все вищевикладене, </w:t>
      </w:r>
      <w:r w:rsidR="00F9641A" w:rsidRPr="00B140B4">
        <w:rPr>
          <w:rFonts w:ascii="Times New Roman" w:eastAsia="Times New Roman" w:hAnsi="Times New Roman"/>
          <w:sz w:val="28"/>
          <w:szCs w:val="28"/>
          <w:lang w:val="uk-UA" w:eastAsia="ru-RU"/>
        </w:rPr>
        <w:t xml:space="preserve">слід зазначити, що </w:t>
      </w:r>
      <w:r w:rsidRPr="00B140B4">
        <w:rPr>
          <w:rFonts w:ascii="Times New Roman" w:eastAsia="Times New Roman" w:hAnsi="Times New Roman"/>
          <w:sz w:val="28"/>
          <w:szCs w:val="28"/>
          <w:lang w:val="uk-UA" w:eastAsia="ru-RU"/>
        </w:rPr>
        <w:t xml:space="preserve">проект Закону </w:t>
      </w:r>
      <w:r w:rsidR="008634C2" w:rsidRPr="008634C2">
        <w:rPr>
          <w:rFonts w:ascii="Times New Roman" w:eastAsia="Times New Roman" w:hAnsi="Times New Roman"/>
          <w:sz w:val="28"/>
          <w:szCs w:val="28"/>
          <w:lang w:val="uk-UA" w:eastAsia="ru-RU"/>
        </w:rPr>
        <w:t>не відповідає принципу правової визначеності</w:t>
      </w:r>
      <w:r w:rsidR="008634C2">
        <w:rPr>
          <w:rFonts w:ascii="Times New Roman" w:eastAsia="Times New Roman" w:hAnsi="Times New Roman"/>
          <w:sz w:val="28"/>
          <w:szCs w:val="28"/>
          <w:lang w:val="uk-UA" w:eastAsia="ru-RU"/>
        </w:rPr>
        <w:t xml:space="preserve">, </w:t>
      </w:r>
      <w:r w:rsidR="006D7DFD" w:rsidRPr="00B140B4">
        <w:rPr>
          <w:rFonts w:ascii="Times New Roman" w:eastAsia="Times New Roman" w:hAnsi="Times New Roman"/>
          <w:sz w:val="28"/>
          <w:szCs w:val="28"/>
          <w:lang w:val="uk-UA" w:eastAsia="ru-RU"/>
        </w:rPr>
        <w:t>частково</w:t>
      </w:r>
      <w:r w:rsidR="00632235" w:rsidRPr="00B140B4">
        <w:rPr>
          <w:rFonts w:ascii="Times New Roman" w:eastAsia="Times New Roman" w:hAnsi="Times New Roman"/>
          <w:sz w:val="28"/>
          <w:szCs w:val="28"/>
          <w:lang w:val="uk-UA" w:eastAsia="ru-RU"/>
        </w:rPr>
        <w:t xml:space="preserve"> </w:t>
      </w:r>
      <w:r w:rsidR="006D7DFD" w:rsidRPr="00B140B4">
        <w:rPr>
          <w:rFonts w:ascii="Times New Roman" w:eastAsia="Times New Roman" w:hAnsi="Times New Roman"/>
          <w:sz w:val="28"/>
          <w:szCs w:val="28"/>
          <w:lang w:val="uk-UA" w:eastAsia="ru-RU"/>
        </w:rPr>
        <w:t>відповідає</w:t>
      </w:r>
      <w:r w:rsidR="00F9641A" w:rsidRPr="00B140B4">
        <w:rPr>
          <w:rFonts w:ascii="Times New Roman" w:eastAsia="Times New Roman" w:hAnsi="Times New Roman"/>
          <w:sz w:val="28"/>
          <w:szCs w:val="28"/>
          <w:lang w:val="uk-UA" w:eastAsia="ru-RU"/>
        </w:rPr>
        <w:t xml:space="preserve"> </w:t>
      </w:r>
      <w:r w:rsidRPr="00B140B4">
        <w:rPr>
          <w:rFonts w:ascii="Times New Roman" w:eastAsia="Times New Roman" w:hAnsi="Times New Roman"/>
          <w:sz w:val="28"/>
          <w:szCs w:val="28"/>
          <w:lang w:val="uk-UA" w:eastAsia="ru-RU"/>
        </w:rPr>
        <w:t>праву ЄС</w:t>
      </w:r>
      <w:r w:rsidR="006D7DFD" w:rsidRPr="00B140B4">
        <w:rPr>
          <w:rFonts w:ascii="Times New Roman" w:eastAsia="Times New Roman" w:hAnsi="Times New Roman"/>
          <w:sz w:val="28"/>
          <w:szCs w:val="28"/>
          <w:lang w:val="uk-UA" w:eastAsia="ru-RU"/>
        </w:rPr>
        <w:t xml:space="preserve"> </w:t>
      </w:r>
      <w:r w:rsidR="00942B33">
        <w:rPr>
          <w:rFonts w:ascii="Times New Roman" w:eastAsia="Times New Roman" w:hAnsi="Times New Roman"/>
          <w:sz w:val="28"/>
          <w:szCs w:val="28"/>
          <w:lang w:val="uk-UA" w:eastAsia="ru-RU"/>
        </w:rPr>
        <w:t>і</w:t>
      </w:r>
      <w:r w:rsidR="006D7DFD" w:rsidRPr="00B140B4">
        <w:rPr>
          <w:rFonts w:ascii="Times New Roman" w:eastAsia="Times New Roman" w:hAnsi="Times New Roman"/>
          <w:sz w:val="28"/>
          <w:szCs w:val="28"/>
          <w:lang w:val="uk-UA" w:eastAsia="ru-RU"/>
        </w:rPr>
        <w:t xml:space="preserve"> п</w:t>
      </w:r>
      <w:r w:rsidR="00F9641A" w:rsidRPr="00B140B4">
        <w:rPr>
          <w:rFonts w:ascii="Times New Roman" w:eastAsia="Times New Roman" w:hAnsi="Times New Roman"/>
          <w:sz w:val="28"/>
          <w:szCs w:val="28"/>
          <w:lang w:val="uk-UA" w:eastAsia="ru-RU"/>
        </w:rPr>
        <w:t>отребує доопрацювання з метою повного врахування та належної імплементації положень Директиви 98/58/ЄС, Регламенту № 1099/2</w:t>
      </w:r>
      <w:bookmarkStart w:id="0" w:name="_GoBack"/>
      <w:bookmarkEnd w:id="0"/>
      <w:r w:rsidR="00F9641A" w:rsidRPr="00B140B4">
        <w:rPr>
          <w:rFonts w:ascii="Times New Roman" w:eastAsia="Times New Roman" w:hAnsi="Times New Roman"/>
          <w:sz w:val="28"/>
          <w:szCs w:val="28"/>
          <w:lang w:val="uk-UA" w:eastAsia="ru-RU"/>
        </w:rPr>
        <w:t>009</w:t>
      </w:r>
      <w:r w:rsidR="00942B33">
        <w:rPr>
          <w:rFonts w:ascii="Times New Roman" w:eastAsia="Times New Roman" w:hAnsi="Times New Roman"/>
          <w:sz w:val="28"/>
          <w:szCs w:val="28"/>
          <w:lang w:val="uk-UA" w:eastAsia="ru-RU"/>
        </w:rPr>
        <w:t>,</w:t>
      </w:r>
      <w:r w:rsidR="00F9641A" w:rsidRPr="00B140B4">
        <w:rPr>
          <w:rFonts w:ascii="Times New Roman" w:eastAsia="Times New Roman" w:hAnsi="Times New Roman"/>
          <w:sz w:val="28"/>
          <w:szCs w:val="28"/>
          <w:lang w:val="uk-UA" w:eastAsia="ru-RU"/>
        </w:rPr>
        <w:t xml:space="preserve"> Директиви 2011/92/ЄС.</w:t>
      </w:r>
    </w:p>
    <w:p w:rsidR="00B8073D" w:rsidRPr="00B140B4" w:rsidRDefault="00B8073D" w:rsidP="00B8073D">
      <w:pPr>
        <w:pStyle w:val="1"/>
        <w:tabs>
          <w:tab w:val="left" w:pos="851"/>
        </w:tabs>
        <w:spacing w:before="60" w:after="60" w:line="240" w:lineRule="auto"/>
        <w:ind w:left="0" w:firstLine="567"/>
        <w:jc w:val="both"/>
        <w:rPr>
          <w:rFonts w:ascii="Times New Roman" w:hAnsi="Times New Roman"/>
          <w:color w:val="FF0000"/>
          <w:sz w:val="28"/>
          <w:szCs w:val="28"/>
          <w:lang w:val="uk-UA"/>
        </w:rPr>
      </w:pPr>
    </w:p>
    <w:p w:rsidR="00B8073D" w:rsidRPr="00B140B4" w:rsidRDefault="00B8073D" w:rsidP="00B8073D">
      <w:pPr>
        <w:spacing w:before="120"/>
        <w:ind w:firstLine="567"/>
        <w:jc w:val="both"/>
        <w:rPr>
          <w:bCs/>
        </w:rPr>
      </w:pPr>
      <w:r w:rsidRPr="00B140B4">
        <w:rPr>
          <w:rFonts w:eastAsia="Verdana"/>
          <w:b/>
          <w:bCs/>
        </w:rPr>
        <w:t>4.</w:t>
      </w:r>
      <w:r w:rsidRPr="00B140B4">
        <w:rPr>
          <w:rFonts w:eastAsia="Verdana"/>
          <w:bCs/>
        </w:rPr>
        <w:t>   </w:t>
      </w:r>
      <w:r w:rsidRPr="00B140B4">
        <w:rPr>
          <w:b/>
        </w:rPr>
        <w:t xml:space="preserve">Висновок Комітету з питань інтеграції України з Європейським Союзом. </w:t>
      </w:r>
    </w:p>
    <w:p w:rsidR="00B8073D" w:rsidRPr="00B140B4" w:rsidRDefault="00B8073D" w:rsidP="00F9641A">
      <w:pPr>
        <w:spacing w:after="60"/>
        <w:ind w:firstLine="567"/>
        <w:jc w:val="both"/>
      </w:pPr>
      <w:r w:rsidRPr="00B140B4">
        <w:rPr>
          <w:rFonts w:eastAsia="MS Mincho"/>
          <w:color w:val="000000" w:themeColor="text1"/>
          <w:lang w:eastAsia="en-US"/>
        </w:rPr>
        <w:t xml:space="preserve">Проект Закону </w:t>
      </w:r>
      <w:r w:rsidR="00B140B4" w:rsidRPr="00B140B4">
        <w:t>не відповідає принципу правової визначеності</w:t>
      </w:r>
      <w:r w:rsidR="00B140B4">
        <w:rPr>
          <w:color w:val="000000"/>
        </w:rPr>
        <w:t xml:space="preserve">, </w:t>
      </w:r>
      <w:r w:rsidR="006D7DFD" w:rsidRPr="00B140B4">
        <w:rPr>
          <w:color w:val="000000"/>
        </w:rPr>
        <w:t>частково відповідає</w:t>
      </w:r>
      <w:r w:rsidR="006D7DFD" w:rsidRPr="00B140B4">
        <w:rPr>
          <w:color w:val="000000" w:themeColor="text1"/>
        </w:rPr>
        <w:t xml:space="preserve"> </w:t>
      </w:r>
      <w:r w:rsidR="00F9641A" w:rsidRPr="00B140B4">
        <w:rPr>
          <w:color w:val="000000" w:themeColor="text1"/>
        </w:rPr>
        <w:t>праву ЄС</w:t>
      </w:r>
      <w:r w:rsidR="006D7DFD" w:rsidRPr="00B140B4">
        <w:rPr>
          <w:color w:val="000000" w:themeColor="text1"/>
        </w:rPr>
        <w:t xml:space="preserve"> </w:t>
      </w:r>
      <w:r w:rsidR="00B140B4">
        <w:rPr>
          <w:color w:val="000000" w:themeColor="text1"/>
        </w:rPr>
        <w:t>і</w:t>
      </w:r>
      <w:r w:rsidR="006D7DFD" w:rsidRPr="00B140B4">
        <w:rPr>
          <w:color w:val="000000" w:themeColor="text1"/>
        </w:rPr>
        <w:t xml:space="preserve"> </w:t>
      </w:r>
      <w:r w:rsidR="00F9641A" w:rsidRPr="00B140B4">
        <w:rPr>
          <w:color w:val="000000" w:themeColor="text1"/>
        </w:rPr>
        <w:t xml:space="preserve">потребує доопрацювання з метою повного врахування </w:t>
      </w:r>
      <w:r w:rsidR="00B140B4">
        <w:rPr>
          <w:color w:val="000000" w:themeColor="text1"/>
        </w:rPr>
        <w:t>та</w:t>
      </w:r>
      <w:r w:rsidR="00F9641A" w:rsidRPr="00B140B4">
        <w:rPr>
          <w:color w:val="000000" w:themeColor="text1"/>
        </w:rPr>
        <w:t xml:space="preserve"> належної імплементації положень </w:t>
      </w:r>
      <w:r w:rsidR="00F9641A" w:rsidRPr="00B140B4">
        <w:t>Директиви 98/58/ЄС, Регламенту № 1099/2009</w:t>
      </w:r>
      <w:r w:rsidR="0003130D">
        <w:t>,</w:t>
      </w:r>
      <w:r w:rsidR="00F9641A" w:rsidRPr="00B140B4">
        <w:t xml:space="preserve"> Директиви 2011/92/ЄС.</w:t>
      </w:r>
    </w:p>
    <w:p w:rsidR="00B6095F" w:rsidRPr="00B140B4" w:rsidRDefault="00B6095F"/>
    <w:p w:rsidR="00C060CF" w:rsidRPr="00B140B4" w:rsidRDefault="00C060CF"/>
    <w:p w:rsidR="00C060CF" w:rsidRPr="00B140B4" w:rsidRDefault="00C060CF"/>
    <w:sectPr w:rsidR="00C060CF" w:rsidRPr="00B140B4" w:rsidSect="00A87362">
      <w:headerReference w:type="even" r:id="rId7"/>
      <w:headerReference w:type="default" r:id="rId8"/>
      <w:footerReference w:type="even" r:id="rId9"/>
      <w:footerReference w:type="default" r:id="rId10"/>
      <w:headerReference w:type="first" r:id="rId11"/>
      <w:footerReference w:type="first" r:id="rId12"/>
      <w:pgSz w:w="11906" w:h="16838"/>
      <w:pgMar w:top="709" w:right="746" w:bottom="851" w:left="1134"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DFF" w:rsidRDefault="002E1DFF">
      <w:r>
        <w:separator/>
      </w:r>
    </w:p>
  </w:endnote>
  <w:endnote w:type="continuationSeparator" w:id="0">
    <w:p w:rsidR="002E1DFF" w:rsidRDefault="002E1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91C" w:rsidRDefault="00AF618B" w:rsidP="004147B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A791C" w:rsidRDefault="002E1DF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965281"/>
      <w:docPartObj>
        <w:docPartGallery w:val="Page Numbers (Bottom of Page)"/>
        <w:docPartUnique/>
      </w:docPartObj>
    </w:sdtPr>
    <w:sdtEndPr>
      <w:rPr>
        <w:sz w:val="24"/>
        <w:szCs w:val="24"/>
      </w:rPr>
    </w:sdtEndPr>
    <w:sdtContent>
      <w:p w:rsidR="00780C9F" w:rsidRPr="00780C9F" w:rsidRDefault="00AF618B">
        <w:pPr>
          <w:pStyle w:val="a3"/>
          <w:jc w:val="center"/>
          <w:rPr>
            <w:sz w:val="24"/>
            <w:szCs w:val="24"/>
          </w:rPr>
        </w:pPr>
        <w:r w:rsidRPr="00780C9F">
          <w:rPr>
            <w:sz w:val="24"/>
            <w:szCs w:val="24"/>
          </w:rPr>
          <w:fldChar w:fldCharType="begin"/>
        </w:r>
        <w:r w:rsidRPr="00780C9F">
          <w:rPr>
            <w:sz w:val="24"/>
            <w:szCs w:val="24"/>
          </w:rPr>
          <w:instrText>PAGE   \* MERGEFORMAT</w:instrText>
        </w:r>
        <w:r w:rsidRPr="00780C9F">
          <w:rPr>
            <w:sz w:val="24"/>
            <w:szCs w:val="24"/>
          </w:rPr>
          <w:fldChar w:fldCharType="separate"/>
        </w:r>
        <w:r w:rsidR="008634C2">
          <w:rPr>
            <w:noProof/>
            <w:sz w:val="24"/>
            <w:szCs w:val="24"/>
          </w:rPr>
          <w:t>3</w:t>
        </w:r>
        <w:r w:rsidRPr="00780C9F">
          <w:rPr>
            <w:sz w:val="24"/>
            <w:szCs w:val="24"/>
          </w:rPr>
          <w:fldChar w:fldCharType="end"/>
        </w:r>
      </w:p>
    </w:sdtContent>
  </w:sdt>
  <w:p w:rsidR="00BA791C" w:rsidRDefault="002E1DFF">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E40" w:rsidRDefault="00164E4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DFF" w:rsidRDefault="002E1DFF">
      <w:r>
        <w:separator/>
      </w:r>
    </w:p>
  </w:footnote>
  <w:footnote w:type="continuationSeparator" w:id="0">
    <w:p w:rsidR="002E1DFF" w:rsidRDefault="002E1D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E40" w:rsidRDefault="00164E40">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E40" w:rsidRDefault="00164E40">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E40" w:rsidRDefault="00164E4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66884"/>
    <w:multiLevelType w:val="hybridMultilevel"/>
    <w:tmpl w:val="DA8E05A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2C020021"/>
    <w:multiLevelType w:val="hybridMultilevel"/>
    <w:tmpl w:val="43D483F4"/>
    <w:lvl w:ilvl="0" w:tplc="0E94C88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73D"/>
    <w:rsid w:val="00006EFE"/>
    <w:rsid w:val="0003130D"/>
    <w:rsid w:val="0004284D"/>
    <w:rsid w:val="000D567E"/>
    <w:rsid w:val="00164E40"/>
    <w:rsid w:val="001F4899"/>
    <w:rsid w:val="00217ADB"/>
    <w:rsid w:val="002E1DFF"/>
    <w:rsid w:val="002F45B0"/>
    <w:rsid w:val="00456CD7"/>
    <w:rsid w:val="00632235"/>
    <w:rsid w:val="006C42EE"/>
    <w:rsid w:val="006D7DFD"/>
    <w:rsid w:val="006F09CE"/>
    <w:rsid w:val="00702F96"/>
    <w:rsid w:val="007D1D28"/>
    <w:rsid w:val="007E2885"/>
    <w:rsid w:val="00824572"/>
    <w:rsid w:val="0086113A"/>
    <w:rsid w:val="008634C2"/>
    <w:rsid w:val="00942B33"/>
    <w:rsid w:val="00AD6B3E"/>
    <w:rsid w:val="00AF618B"/>
    <w:rsid w:val="00B140B4"/>
    <w:rsid w:val="00B6095F"/>
    <w:rsid w:val="00B8073D"/>
    <w:rsid w:val="00BB42E2"/>
    <w:rsid w:val="00BB5DCA"/>
    <w:rsid w:val="00BE74A8"/>
    <w:rsid w:val="00C060CF"/>
    <w:rsid w:val="00CF1D55"/>
    <w:rsid w:val="00DE050F"/>
    <w:rsid w:val="00F72C9B"/>
    <w:rsid w:val="00F9641A"/>
    <w:rsid w:val="00FC07A8"/>
    <w:rsid w:val="00FF34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79E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73D"/>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8073D"/>
    <w:pPr>
      <w:tabs>
        <w:tab w:val="center" w:pos="4819"/>
        <w:tab w:val="right" w:pos="9639"/>
      </w:tabs>
    </w:pPr>
  </w:style>
  <w:style w:type="character" w:customStyle="1" w:styleId="a4">
    <w:name w:val="Нижній колонтитул Знак"/>
    <w:basedOn w:val="a0"/>
    <w:link w:val="a3"/>
    <w:rsid w:val="00B8073D"/>
    <w:rPr>
      <w:rFonts w:ascii="Times New Roman" w:eastAsia="Times New Roman" w:hAnsi="Times New Roman" w:cs="Times New Roman"/>
      <w:sz w:val="28"/>
      <w:szCs w:val="28"/>
      <w:lang w:eastAsia="ru-RU"/>
    </w:rPr>
  </w:style>
  <w:style w:type="character" w:styleId="a5">
    <w:name w:val="page number"/>
    <w:basedOn w:val="a0"/>
    <w:rsid w:val="00B8073D"/>
  </w:style>
  <w:style w:type="paragraph" w:customStyle="1" w:styleId="1">
    <w:name w:val="Абзац списку1"/>
    <w:basedOn w:val="a"/>
    <w:qFormat/>
    <w:rsid w:val="00B8073D"/>
    <w:pPr>
      <w:spacing w:after="200" w:line="276" w:lineRule="auto"/>
      <w:ind w:left="720"/>
      <w:contextualSpacing/>
    </w:pPr>
    <w:rPr>
      <w:rFonts w:ascii="Calibri" w:eastAsia="Calibri" w:hAnsi="Calibri"/>
      <w:sz w:val="22"/>
      <w:szCs w:val="22"/>
      <w:lang w:val="ru-RU" w:eastAsia="en-US"/>
    </w:rPr>
  </w:style>
  <w:style w:type="paragraph" w:styleId="a6">
    <w:name w:val="List Paragraph"/>
    <w:basedOn w:val="a"/>
    <w:uiPriority w:val="34"/>
    <w:qFormat/>
    <w:rsid w:val="00B8073D"/>
    <w:pPr>
      <w:ind w:left="720"/>
      <w:contextualSpacing/>
    </w:pPr>
  </w:style>
  <w:style w:type="paragraph" w:styleId="a7">
    <w:name w:val="header"/>
    <w:basedOn w:val="a"/>
    <w:link w:val="a8"/>
    <w:uiPriority w:val="99"/>
    <w:unhideWhenUsed/>
    <w:rsid w:val="00164E40"/>
    <w:pPr>
      <w:tabs>
        <w:tab w:val="center" w:pos="4819"/>
        <w:tab w:val="right" w:pos="9639"/>
      </w:tabs>
    </w:pPr>
  </w:style>
  <w:style w:type="character" w:customStyle="1" w:styleId="a8">
    <w:name w:val="Верхній колонтитул Знак"/>
    <w:basedOn w:val="a0"/>
    <w:link w:val="a7"/>
    <w:uiPriority w:val="99"/>
    <w:rsid w:val="00164E40"/>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6452</Words>
  <Characters>3678</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2020-04-02T13:13:00Z</dcterms:created>
  <dcterms:modified xsi:type="dcterms:W3CDTF">2020-04-10T10:07:00Z</dcterms:modified>
</cp:coreProperties>
</file>