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6BF" w:rsidRPr="00CD407A" w:rsidRDefault="00CD407A" w:rsidP="00CD407A">
      <w:pPr>
        <w:jc w:val="center"/>
        <w:rPr>
          <w:rFonts w:ascii="Times New Roman" w:hAnsi="Times New Roman" w:cs="Times New Roman"/>
          <w:b/>
          <w:sz w:val="28"/>
          <w:szCs w:val="28"/>
          <w:lang w:val="uk-UA"/>
        </w:rPr>
      </w:pPr>
      <w:r w:rsidRPr="00CD407A">
        <w:rPr>
          <w:rFonts w:ascii="Times New Roman" w:hAnsi="Times New Roman" w:cs="Times New Roman"/>
          <w:b/>
          <w:sz w:val="28"/>
          <w:szCs w:val="28"/>
        </w:rPr>
        <w:t>ПОРІВНЯЛЬНА ТАБЛИЦЯ</w:t>
      </w:r>
    </w:p>
    <w:p w:rsidR="00CD407A" w:rsidRDefault="00CD407A" w:rsidP="00CD407A">
      <w:pPr>
        <w:jc w:val="center"/>
        <w:rPr>
          <w:rFonts w:ascii="Times New Roman" w:hAnsi="Times New Roman" w:cs="Times New Roman"/>
          <w:sz w:val="28"/>
          <w:szCs w:val="28"/>
          <w:lang w:val="uk-UA"/>
        </w:rPr>
      </w:pPr>
      <w:r w:rsidRPr="00CD407A">
        <w:rPr>
          <w:rFonts w:ascii="Times New Roman" w:hAnsi="Times New Roman" w:cs="Times New Roman"/>
          <w:b/>
          <w:sz w:val="28"/>
          <w:szCs w:val="28"/>
          <w:lang w:val="uk-UA"/>
        </w:rPr>
        <w:t>до проекту Закону України «</w:t>
      </w:r>
      <w:r w:rsidR="00237981" w:rsidRPr="00237981">
        <w:rPr>
          <w:rFonts w:ascii="Times New Roman" w:hAnsi="Times New Roman" w:cs="Times New Roman"/>
          <w:b/>
          <w:sz w:val="28"/>
          <w:szCs w:val="28"/>
          <w:lang w:val="uk-UA"/>
        </w:rPr>
        <w:t xml:space="preserve">Про внесення змін до Податкового кодексу України щодо установлення розміру неоподатковуваного мінімуму доходів громадян та ставки на </w:t>
      </w:r>
      <w:r w:rsidR="001E7653" w:rsidRPr="001E7653">
        <w:rPr>
          <w:rFonts w:ascii="Times New Roman" w:hAnsi="Times New Roman" w:cs="Times New Roman"/>
          <w:b/>
          <w:sz w:val="28"/>
          <w:szCs w:val="28"/>
          <w:lang w:val="uk-UA"/>
        </w:rPr>
        <w:t xml:space="preserve">пасивні доходи </w:t>
      </w:r>
      <w:r w:rsidR="001E7653" w:rsidRPr="001E7653">
        <w:rPr>
          <w:rFonts w:ascii="Times New Roman" w:hAnsi="Times New Roman" w:cs="Times New Roman"/>
          <w:b/>
          <w:sz w:val="28"/>
          <w:szCs w:val="28"/>
        </w:rPr>
        <w:t>(</w:t>
      </w:r>
      <w:r w:rsidR="00237981" w:rsidRPr="00237981">
        <w:rPr>
          <w:rFonts w:ascii="Times New Roman" w:hAnsi="Times New Roman" w:cs="Times New Roman"/>
          <w:b/>
          <w:sz w:val="28"/>
          <w:szCs w:val="28"/>
          <w:lang w:val="uk-UA"/>
        </w:rPr>
        <w:t>дивіденди по акціях</w:t>
      </w:r>
      <w:r w:rsidR="001E7653" w:rsidRPr="001E7653">
        <w:rPr>
          <w:rFonts w:ascii="Times New Roman" w:hAnsi="Times New Roman" w:cs="Times New Roman"/>
          <w:b/>
          <w:sz w:val="28"/>
          <w:szCs w:val="28"/>
        </w:rPr>
        <w:t>)</w:t>
      </w:r>
      <w:r w:rsidRPr="00CD407A">
        <w:rPr>
          <w:rFonts w:ascii="Times New Roman" w:hAnsi="Times New Roman" w:cs="Times New Roman"/>
          <w:b/>
          <w:sz w:val="28"/>
          <w:szCs w:val="28"/>
          <w:lang w:val="uk-UA"/>
        </w:rPr>
        <w:t>»</w:t>
      </w:r>
    </w:p>
    <w:p w:rsidR="00CD407A" w:rsidRDefault="00CD407A" w:rsidP="00CD407A">
      <w:pPr>
        <w:jc w:val="center"/>
        <w:rPr>
          <w:rFonts w:ascii="Times New Roman" w:hAnsi="Times New Roman" w:cs="Times New Roman"/>
          <w:sz w:val="28"/>
          <w:szCs w:val="28"/>
          <w:lang w:val="uk-UA"/>
        </w:rPr>
      </w:pPr>
    </w:p>
    <w:tbl>
      <w:tblPr>
        <w:tblStyle w:val="a4"/>
        <w:tblW w:w="0" w:type="auto"/>
        <w:tblLook w:val="04A0"/>
      </w:tblPr>
      <w:tblGrid>
        <w:gridCol w:w="7393"/>
        <w:gridCol w:w="7393"/>
      </w:tblGrid>
      <w:tr w:rsidR="00CD407A" w:rsidRPr="009A58F1" w:rsidTr="00CD407A">
        <w:tc>
          <w:tcPr>
            <w:tcW w:w="7393" w:type="dxa"/>
          </w:tcPr>
          <w:p w:rsidR="00CD407A" w:rsidRPr="009A58F1" w:rsidRDefault="00CD407A" w:rsidP="00CD407A">
            <w:pPr>
              <w:jc w:val="center"/>
              <w:rPr>
                <w:rFonts w:ascii="Times New Roman" w:hAnsi="Times New Roman" w:cs="Times New Roman"/>
                <w:b/>
                <w:lang w:val="uk-UA"/>
              </w:rPr>
            </w:pPr>
            <w:r w:rsidRPr="009A58F1">
              <w:rPr>
                <w:rFonts w:ascii="Times New Roman" w:hAnsi="Times New Roman" w:cs="Times New Roman"/>
                <w:b/>
                <w:lang w:val="uk-UA"/>
              </w:rPr>
              <w:t>Чинна редакція</w:t>
            </w:r>
          </w:p>
        </w:tc>
        <w:tc>
          <w:tcPr>
            <w:tcW w:w="7393" w:type="dxa"/>
          </w:tcPr>
          <w:p w:rsidR="00CD407A" w:rsidRPr="009A58F1" w:rsidRDefault="00CD407A" w:rsidP="00CD407A">
            <w:pPr>
              <w:jc w:val="center"/>
              <w:rPr>
                <w:rFonts w:ascii="Times New Roman" w:hAnsi="Times New Roman" w:cs="Times New Roman"/>
                <w:b/>
                <w:lang w:val="uk-UA"/>
              </w:rPr>
            </w:pPr>
            <w:r w:rsidRPr="009A58F1">
              <w:rPr>
                <w:rFonts w:ascii="Times New Roman" w:hAnsi="Times New Roman" w:cs="Times New Roman"/>
                <w:b/>
                <w:lang w:val="uk-UA"/>
              </w:rPr>
              <w:t>Пропонована редакція</w:t>
            </w:r>
          </w:p>
        </w:tc>
      </w:tr>
      <w:tr w:rsidR="00CD407A" w:rsidRPr="001E7653" w:rsidTr="00CD407A">
        <w:tc>
          <w:tcPr>
            <w:tcW w:w="7393" w:type="dxa"/>
          </w:tcPr>
          <w:p w:rsidR="00237981" w:rsidRPr="00237981" w:rsidRDefault="00237981" w:rsidP="00237981">
            <w:pPr>
              <w:jc w:val="center"/>
              <w:rPr>
                <w:rFonts w:ascii="Times New Roman" w:hAnsi="Times New Roman" w:cs="Times New Roman"/>
                <w:b/>
                <w:lang w:val="uk-UA"/>
              </w:rPr>
            </w:pPr>
            <w:r w:rsidRPr="00237981">
              <w:rPr>
                <w:rFonts w:ascii="Times New Roman" w:hAnsi="Times New Roman" w:cs="Times New Roman"/>
                <w:b/>
                <w:lang w:val="uk-UA"/>
              </w:rPr>
              <w:t>РОЗДІЛ XX. ПЕРЕХІДНІ ПОЛОЖЕННЯ</w:t>
            </w:r>
          </w:p>
          <w:p w:rsidR="00CD407A" w:rsidRDefault="00237981" w:rsidP="00237981">
            <w:pPr>
              <w:jc w:val="center"/>
              <w:rPr>
                <w:rFonts w:ascii="Times New Roman" w:hAnsi="Times New Roman" w:cs="Times New Roman"/>
                <w:b/>
                <w:lang w:val="uk-UA"/>
              </w:rPr>
            </w:pPr>
            <w:r w:rsidRPr="00237981">
              <w:rPr>
                <w:rFonts w:ascii="Times New Roman" w:hAnsi="Times New Roman" w:cs="Times New Roman"/>
                <w:b/>
                <w:lang w:val="uk-UA"/>
              </w:rPr>
              <w:t xml:space="preserve">Підрозділ 1. </w:t>
            </w:r>
            <w:r w:rsidRPr="00B66D46">
              <w:rPr>
                <w:rFonts w:ascii="Times New Roman" w:hAnsi="Times New Roman" w:cs="Times New Roman"/>
                <w:lang w:val="uk-UA"/>
              </w:rPr>
              <w:t>Особливості справляння податку на доходи фізичних осіб</w:t>
            </w:r>
          </w:p>
          <w:p w:rsidR="00237981" w:rsidRPr="009A58F1" w:rsidRDefault="00237981" w:rsidP="00237981">
            <w:pPr>
              <w:jc w:val="both"/>
              <w:rPr>
                <w:rFonts w:ascii="Times New Roman" w:hAnsi="Times New Roman" w:cs="Times New Roman"/>
                <w:b/>
                <w:lang w:val="uk-UA"/>
              </w:rPr>
            </w:pPr>
            <w:r>
              <w:rPr>
                <w:rFonts w:ascii="Times New Roman" w:hAnsi="Times New Roman" w:cs="Times New Roman"/>
                <w:lang w:val="uk-UA"/>
              </w:rPr>
              <w:t>«</w:t>
            </w:r>
            <w:r w:rsidRPr="00237981">
              <w:rPr>
                <w:rFonts w:ascii="Times New Roman" w:hAnsi="Times New Roman" w:cs="Times New Roman"/>
                <w:lang w:val="uk-UA"/>
              </w:rPr>
              <w:t xml:space="preserve">5. Якщо норми інших законів містять посилання на неоподатковуваний мінімум доходів громадян, то для цілей їх застосування використовується сума в розмірі </w:t>
            </w:r>
            <w:r w:rsidRPr="00237981">
              <w:rPr>
                <w:rFonts w:ascii="Times New Roman" w:hAnsi="Times New Roman" w:cs="Times New Roman"/>
                <w:i/>
                <w:lang w:val="uk-UA"/>
              </w:rPr>
              <w:t>17 гривень</w:t>
            </w:r>
            <w:r w:rsidRPr="00237981">
              <w:rPr>
                <w:rFonts w:ascii="Times New Roman" w:hAnsi="Times New Roman" w:cs="Times New Roman"/>
                <w:lang w:val="uk-UA"/>
              </w:rPr>
              <w:t>, крім норм адміністративного та кримінального законодавства в частині кваліфікації адміністративних або кримінальних правопорушень, для яких сума неоподатковуваного мінімуму встановлюється на рівні податкової соціальної пільги, визначеної підпунктом 169.1.1 пункту 169.1 статті 169 розділу IV цього Кодексу для відповідного року</w:t>
            </w:r>
            <w:r>
              <w:rPr>
                <w:rFonts w:ascii="Times New Roman" w:hAnsi="Times New Roman" w:cs="Times New Roman"/>
                <w:lang w:val="uk-UA"/>
              </w:rPr>
              <w:t>»</w:t>
            </w:r>
            <w:r w:rsidRPr="00237981">
              <w:rPr>
                <w:rFonts w:ascii="Times New Roman" w:hAnsi="Times New Roman" w:cs="Times New Roman"/>
                <w:lang w:val="uk-UA"/>
              </w:rPr>
              <w:t>.</w:t>
            </w:r>
          </w:p>
        </w:tc>
        <w:tc>
          <w:tcPr>
            <w:tcW w:w="7393" w:type="dxa"/>
          </w:tcPr>
          <w:p w:rsidR="00237981" w:rsidRPr="00237981" w:rsidRDefault="00237981" w:rsidP="00237981">
            <w:pPr>
              <w:jc w:val="center"/>
              <w:rPr>
                <w:rFonts w:ascii="Times New Roman" w:hAnsi="Times New Roman" w:cs="Times New Roman"/>
                <w:b/>
                <w:lang w:val="uk-UA"/>
              </w:rPr>
            </w:pPr>
            <w:r w:rsidRPr="00237981">
              <w:rPr>
                <w:rFonts w:ascii="Times New Roman" w:hAnsi="Times New Roman" w:cs="Times New Roman"/>
                <w:b/>
                <w:lang w:val="uk-UA"/>
              </w:rPr>
              <w:t>РОЗДІЛ XX. ПЕРЕХІДНІ ПОЛОЖЕННЯ</w:t>
            </w:r>
          </w:p>
          <w:p w:rsidR="00237981" w:rsidRPr="00B66D46" w:rsidRDefault="00237981" w:rsidP="00237981">
            <w:pPr>
              <w:jc w:val="center"/>
              <w:rPr>
                <w:rFonts w:ascii="Times New Roman" w:hAnsi="Times New Roman" w:cs="Times New Roman"/>
                <w:lang w:val="uk-UA"/>
              </w:rPr>
            </w:pPr>
            <w:r w:rsidRPr="00237981">
              <w:rPr>
                <w:rFonts w:ascii="Times New Roman" w:hAnsi="Times New Roman" w:cs="Times New Roman"/>
                <w:b/>
                <w:lang w:val="uk-UA"/>
              </w:rPr>
              <w:t xml:space="preserve">Підрозділ 1. </w:t>
            </w:r>
            <w:r w:rsidRPr="00B66D46">
              <w:rPr>
                <w:rFonts w:ascii="Times New Roman" w:hAnsi="Times New Roman" w:cs="Times New Roman"/>
                <w:lang w:val="uk-UA"/>
              </w:rPr>
              <w:t>Особливості справляння податку на доходи фізичних осіб</w:t>
            </w:r>
          </w:p>
          <w:p w:rsidR="009A58F1" w:rsidRPr="009A58F1" w:rsidRDefault="00237981" w:rsidP="00237981">
            <w:pPr>
              <w:jc w:val="both"/>
              <w:rPr>
                <w:rFonts w:ascii="Times New Roman" w:hAnsi="Times New Roman" w:cs="Times New Roman"/>
                <w:lang w:val="uk-UA"/>
              </w:rPr>
            </w:pPr>
            <w:r>
              <w:rPr>
                <w:rFonts w:ascii="Times New Roman" w:hAnsi="Times New Roman" w:cs="Times New Roman"/>
                <w:lang w:val="uk-UA"/>
              </w:rPr>
              <w:t xml:space="preserve">«5. </w:t>
            </w:r>
            <w:r w:rsidRPr="00237981">
              <w:rPr>
                <w:rFonts w:ascii="Times New Roman" w:hAnsi="Times New Roman" w:cs="Times New Roman"/>
                <w:lang w:val="uk-UA"/>
              </w:rPr>
              <w:t xml:space="preserve">Якщо норми інших законів містять посилання на неоподатковуваний мінімум доходів громадян, то для цілей їх застосування використовується сума в розмірі </w:t>
            </w:r>
            <w:r w:rsidRPr="00237981">
              <w:rPr>
                <w:rFonts w:ascii="Times New Roman" w:hAnsi="Times New Roman" w:cs="Times New Roman"/>
                <w:b/>
                <w:lang w:val="uk-UA"/>
              </w:rPr>
              <w:t>мінімальної заробітної плати встановленої на поточний рік</w:t>
            </w:r>
            <w:r w:rsidRPr="00237981">
              <w:rPr>
                <w:rFonts w:ascii="Times New Roman" w:hAnsi="Times New Roman" w:cs="Times New Roman"/>
                <w:lang w:val="uk-UA"/>
              </w:rPr>
              <w:t>, крім норм адміністративного та кримінального законодавства в частині кваліфікації адміністративних або кримінальних правопорушень, для яких сума неоподатковуваного мінімуму встановлюється на рівні податкової соціальної пільги, визначеної підпунктом 169.1.1 пункту 169.1 статті 169 розділу IV цього Кодексу для відповідного року</w:t>
            </w:r>
            <w:r>
              <w:rPr>
                <w:rFonts w:ascii="Times New Roman" w:hAnsi="Times New Roman" w:cs="Times New Roman"/>
                <w:lang w:val="uk-UA"/>
              </w:rPr>
              <w:t>».</w:t>
            </w:r>
          </w:p>
        </w:tc>
      </w:tr>
      <w:tr w:rsidR="00CD407A" w:rsidRPr="00237981" w:rsidTr="00CD407A">
        <w:tc>
          <w:tcPr>
            <w:tcW w:w="7393" w:type="dxa"/>
          </w:tcPr>
          <w:p w:rsidR="009A58F1" w:rsidRPr="00B66D46" w:rsidRDefault="00B66D46" w:rsidP="00B66D46">
            <w:pPr>
              <w:jc w:val="center"/>
              <w:rPr>
                <w:rFonts w:ascii="Times New Roman" w:hAnsi="Times New Roman" w:cs="Times New Roman"/>
                <w:b/>
                <w:lang w:val="uk-UA"/>
              </w:rPr>
            </w:pPr>
            <w:r w:rsidRPr="00B66D46">
              <w:rPr>
                <w:rFonts w:ascii="Times New Roman" w:hAnsi="Times New Roman" w:cs="Times New Roman"/>
                <w:b/>
                <w:lang w:val="uk-UA"/>
              </w:rPr>
              <w:t>РОЗДІЛ IV. ПОДАТОК НА ДОХОДИ ФІЗИЧНИХ ОСІБ</w:t>
            </w:r>
          </w:p>
          <w:p w:rsidR="00B66D46" w:rsidRDefault="00B66D46" w:rsidP="00B66D46">
            <w:pPr>
              <w:jc w:val="center"/>
              <w:rPr>
                <w:rFonts w:ascii="Times New Roman" w:hAnsi="Times New Roman" w:cs="Times New Roman"/>
                <w:lang w:val="uk-UA"/>
              </w:rPr>
            </w:pPr>
            <w:r w:rsidRPr="00B66D46">
              <w:rPr>
                <w:rFonts w:ascii="Times New Roman" w:hAnsi="Times New Roman" w:cs="Times New Roman"/>
                <w:b/>
                <w:lang w:val="uk-UA"/>
              </w:rPr>
              <w:t>Стаття 167.</w:t>
            </w:r>
            <w:r w:rsidRPr="00B66D46">
              <w:rPr>
                <w:rFonts w:ascii="Times New Roman" w:hAnsi="Times New Roman" w:cs="Times New Roman"/>
                <w:lang w:val="uk-UA"/>
              </w:rPr>
              <w:t xml:space="preserve"> Ставки податку</w:t>
            </w:r>
          </w:p>
          <w:p w:rsidR="00B66D46" w:rsidRDefault="00B66D46" w:rsidP="00B66D46">
            <w:pPr>
              <w:jc w:val="both"/>
              <w:rPr>
                <w:rFonts w:ascii="Times New Roman" w:hAnsi="Times New Roman" w:cs="Times New Roman"/>
                <w:lang w:val="uk-UA"/>
              </w:rPr>
            </w:pPr>
            <w:r w:rsidRPr="00B66D46">
              <w:rPr>
                <w:rFonts w:ascii="Times New Roman" w:hAnsi="Times New Roman" w:cs="Times New Roman"/>
                <w:lang w:val="uk-UA"/>
              </w:rPr>
              <w:t>167.5. Ставки податку на пасивні доходи до бази оподаткування встановлюються у таких розмірах:</w:t>
            </w:r>
          </w:p>
          <w:p w:rsidR="00B66D46" w:rsidRPr="009A58F1" w:rsidRDefault="00B66D46" w:rsidP="009A58F1">
            <w:pPr>
              <w:jc w:val="both"/>
              <w:rPr>
                <w:rFonts w:ascii="Times New Roman" w:hAnsi="Times New Roman" w:cs="Times New Roman"/>
                <w:lang w:val="uk-UA"/>
              </w:rPr>
            </w:pPr>
            <w:r>
              <w:rPr>
                <w:rFonts w:ascii="Times New Roman" w:hAnsi="Times New Roman" w:cs="Times New Roman"/>
                <w:lang w:val="uk-UA"/>
              </w:rPr>
              <w:t>«</w:t>
            </w:r>
            <w:r w:rsidRPr="00B66D46">
              <w:rPr>
                <w:rFonts w:ascii="Times New Roman" w:hAnsi="Times New Roman" w:cs="Times New Roman"/>
                <w:lang w:val="uk-UA"/>
              </w:rPr>
              <w:t xml:space="preserve">167.5.1. 18 відсотків </w:t>
            </w:r>
            <w:r>
              <w:rPr>
                <w:rFonts w:ascii="Times New Roman" w:hAnsi="Times New Roman" w:cs="Times New Roman"/>
                <w:lang w:val="uk-UA"/>
              </w:rPr>
              <w:t>–</w:t>
            </w:r>
            <w:r w:rsidRPr="00B66D46">
              <w:rPr>
                <w:rFonts w:ascii="Times New Roman" w:hAnsi="Times New Roman" w:cs="Times New Roman"/>
                <w:lang w:val="uk-UA"/>
              </w:rPr>
              <w:t xml:space="preserve"> для пасивних доходів, </w:t>
            </w:r>
            <w:r w:rsidRPr="00B66D46">
              <w:rPr>
                <w:rFonts w:ascii="Times New Roman" w:hAnsi="Times New Roman" w:cs="Times New Roman"/>
                <w:i/>
                <w:lang w:val="uk-UA"/>
              </w:rPr>
              <w:t>крім зазначених у підпунктах 167.5.2 та 167.5.4 цього пункту</w:t>
            </w:r>
            <w:r>
              <w:rPr>
                <w:rFonts w:ascii="Times New Roman" w:hAnsi="Times New Roman" w:cs="Times New Roman"/>
                <w:lang w:val="uk-UA"/>
              </w:rPr>
              <w:t>».</w:t>
            </w:r>
          </w:p>
        </w:tc>
        <w:tc>
          <w:tcPr>
            <w:tcW w:w="7393" w:type="dxa"/>
          </w:tcPr>
          <w:p w:rsidR="00B66D46" w:rsidRPr="00B66D46" w:rsidRDefault="00B66D46" w:rsidP="00B66D46">
            <w:pPr>
              <w:jc w:val="center"/>
              <w:rPr>
                <w:rFonts w:ascii="Times New Roman" w:hAnsi="Times New Roman" w:cs="Times New Roman"/>
                <w:b/>
                <w:lang w:val="uk-UA"/>
              </w:rPr>
            </w:pPr>
            <w:r w:rsidRPr="00B66D46">
              <w:rPr>
                <w:rFonts w:ascii="Times New Roman" w:hAnsi="Times New Roman" w:cs="Times New Roman"/>
                <w:b/>
                <w:lang w:val="uk-UA"/>
              </w:rPr>
              <w:t>РОЗДІЛ IV. ПОДАТОК НА ДОХОДИ ФІЗИЧНИХ ОСІБ</w:t>
            </w:r>
          </w:p>
          <w:p w:rsidR="00B66D46" w:rsidRDefault="00B66D46" w:rsidP="00B66D46">
            <w:pPr>
              <w:jc w:val="center"/>
              <w:rPr>
                <w:rFonts w:ascii="Times New Roman" w:hAnsi="Times New Roman" w:cs="Times New Roman"/>
                <w:lang w:val="uk-UA"/>
              </w:rPr>
            </w:pPr>
            <w:r w:rsidRPr="00B66D46">
              <w:rPr>
                <w:rFonts w:ascii="Times New Roman" w:hAnsi="Times New Roman" w:cs="Times New Roman"/>
                <w:b/>
                <w:lang w:val="uk-UA"/>
              </w:rPr>
              <w:t>Стаття 167.</w:t>
            </w:r>
            <w:r w:rsidRPr="00B66D46">
              <w:rPr>
                <w:rFonts w:ascii="Times New Roman" w:hAnsi="Times New Roman" w:cs="Times New Roman"/>
                <w:lang w:val="uk-UA"/>
              </w:rPr>
              <w:t xml:space="preserve"> Ставки податку</w:t>
            </w:r>
          </w:p>
          <w:p w:rsidR="00B66D46" w:rsidRDefault="00B66D46" w:rsidP="009A58F1">
            <w:pPr>
              <w:jc w:val="both"/>
              <w:rPr>
                <w:rFonts w:ascii="Times New Roman" w:hAnsi="Times New Roman" w:cs="Times New Roman"/>
                <w:lang w:val="uk-UA"/>
              </w:rPr>
            </w:pPr>
            <w:r w:rsidRPr="00B66D46">
              <w:rPr>
                <w:rFonts w:ascii="Times New Roman" w:hAnsi="Times New Roman" w:cs="Times New Roman"/>
                <w:lang w:val="uk-UA"/>
              </w:rPr>
              <w:t>167.5. Ставки податку на пасивні доходи до бази оподаткування встановлюються у таких розмірах:</w:t>
            </w:r>
          </w:p>
          <w:p w:rsidR="009A58F1" w:rsidRPr="009A58F1" w:rsidRDefault="00B66D46" w:rsidP="009A58F1">
            <w:pPr>
              <w:jc w:val="both"/>
              <w:rPr>
                <w:rFonts w:ascii="Times New Roman" w:hAnsi="Times New Roman" w:cs="Times New Roman"/>
                <w:lang w:val="uk-UA"/>
              </w:rPr>
            </w:pPr>
            <w:r w:rsidRPr="00B66D46">
              <w:rPr>
                <w:rFonts w:ascii="Times New Roman" w:hAnsi="Times New Roman" w:cs="Times New Roman"/>
                <w:lang w:val="uk-UA"/>
              </w:rPr>
              <w:t>«167.5.1. 18 відсотків – для пасивних доходів»</w:t>
            </w:r>
            <w:r>
              <w:rPr>
                <w:rFonts w:ascii="Times New Roman" w:hAnsi="Times New Roman" w:cs="Times New Roman"/>
                <w:lang w:val="uk-UA"/>
              </w:rPr>
              <w:t>.</w:t>
            </w:r>
            <w:bookmarkStart w:id="0" w:name="_GoBack"/>
            <w:bookmarkEnd w:id="0"/>
          </w:p>
        </w:tc>
      </w:tr>
      <w:tr w:rsidR="00B66D46" w:rsidRPr="00237981" w:rsidTr="00CD407A">
        <w:tc>
          <w:tcPr>
            <w:tcW w:w="7393" w:type="dxa"/>
          </w:tcPr>
          <w:p w:rsidR="00B66D46" w:rsidRPr="00B66D46" w:rsidRDefault="00B66D46" w:rsidP="00B66D46">
            <w:pPr>
              <w:jc w:val="center"/>
              <w:rPr>
                <w:rFonts w:ascii="Times New Roman" w:hAnsi="Times New Roman" w:cs="Times New Roman"/>
                <w:b/>
                <w:lang w:val="uk-UA"/>
              </w:rPr>
            </w:pPr>
            <w:r w:rsidRPr="00B66D46">
              <w:rPr>
                <w:rFonts w:ascii="Times New Roman" w:hAnsi="Times New Roman" w:cs="Times New Roman"/>
                <w:b/>
                <w:lang w:val="uk-UA"/>
              </w:rPr>
              <w:t>РОЗДІЛ IV. ПОДАТОК НА ДОХОДИ ФІЗИЧНИХ ОСІБ</w:t>
            </w:r>
          </w:p>
          <w:p w:rsidR="00B66D46" w:rsidRDefault="00B66D46" w:rsidP="00B66D46">
            <w:pPr>
              <w:jc w:val="center"/>
              <w:rPr>
                <w:rFonts w:ascii="Times New Roman" w:hAnsi="Times New Roman" w:cs="Times New Roman"/>
                <w:lang w:val="uk-UA"/>
              </w:rPr>
            </w:pPr>
            <w:r w:rsidRPr="00B66D46">
              <w:rPr>
                <w:rFonts w:ascii="Times New Roman" w:hAnsi="Times New Roman" w:cs="Times New Roman"/>
                <w:b/>
                <w:lang w:val="uk-UA"/>
              </w:rPr>
              <w:t>Стаття 167.</w:t>
            </w:r>
            <w:r w:rsidRPr="00B66D46">
              <w:rPr>
                <w:rFonts w:ascii="Times New Roman" w:hAnsi="Times New Roman" w:cs="Times New Roman"/>
                <w:lang w:val="uk-UA"/>
              </w:rPr>
              <w:t xml:space="preserve"> Ставки податку</w:t>
            </w:r>
          </w:p>
          <w:p w:rsidR="00B66D46" w:rsidRDefault="00B66D46" w:rsidP="00B66D46">
            <w:pPr>
              <w:jc w:val="both"/>
              <w:rPr>
                <w:rFonts w:ascii="Times New Roman" w:hAnsi="Times New Roman" w:cs="Times New Roman"/>
                <w:lang w:val="uk-UA"/>
              </w:rPr>
            </w:pPr>
            <w:r w:rsidRPr="00B66D46">
              <w:rPr>
                <w:rFonts w:ascii="Times New Roman" w:hAnsi="Times New Roman" w:cs="Times New Roman"/>
                <w:lang w:val="uk-UA"/>
              </w:rPr>
              <w:t>167.5. Ставки податку на пасивні доходи до бази оподаткування встановлюються у таких розмірах:</w:t>
            </w:r>
          </w:p>
          <w:p w:rsidR="00B66D46" w:rsidRPr="00B66D46" w:rsidRDefault="00B66D46" w:rsidP="00B66D46">
            <w:pPr>
              <w:jc w:val="both"/>
              <w:rPr>
                <w:rFonts w:ascii="Times New Roman" w:hAnsi="Times New Roman" w:cs="Times New Roman"/>
                <w:lang w:val="uk-UA"/>
              </w:rPr>
            </w:pPr>
            <w:r>
              <w:rPr>
                <w:rFonts w:ascii="Times New Roman" w:hAnsi="Times New Roman" w:cs="Times New Roman"/>
                <w:lang w:val="uk-UA"/>
              </w:rPr>
              <w:t>«</w:t>
            </w:r>
            <w:r w:rsidRPr="00B66D46">
              <w:rPr>
                <w:rFonts w:ascii="Times New Roman" w:hAnsi="Times New Roman" w:cs="Times New Roman"/>
                <w:lang w:val="uk-UA"/>
              </w:rPr>
              <w:t xml:space="preserve">167.5.2. 5 відсотків </w:t>
            </w:r>
            <w:r>
              <w:rPr>
                <w:rFonts w:ascii="Times New Roman" w:hAnsi="Times New Roman" w:cs="Times New Roman"/>
                <w:lang w:val="uk-UA"/>
              </w:rPr>
              <w:t>–</w:t>
            </w:r>
            <w:r w:rsidRPr="00B66D46">
              <w:rPr>
                <w:rFonts w:ascii="Times New Roman" w:hAnsi="Times New Roman" w:cs="Times New Roman"/>
                <w:lang w:val="uk-UA"/>
              </w:rPr>
              <w:t xml:space="preserve"> для доходів у вигляді дивідендів по акціях та корпоративних правах, нарахованих резидентами </w:t>
            </w:r>
            <w:r>
              <w:rPr>
                <w:rFonts w:ascii="Times New Roman" w:hAnsi="Times New Roman" w:cs="Times New Roman"/>
                <w:lang w:val="uk-UA"/>
              </w:rPr>
              <w:t>–</w:t>
            </w:r>
            <w:r w:rsidRPr="00B66D46">
              <w:rPr>
                <w:rFonts w:ascii="Times New Roman" w:hAnsi="Times New Roman" w:cs="Times New Roman"/>
                <w:lang w:val="uk-UA"/>
              </w:rPr>
              <w:t xml:space="preserve"> платниками податку на прибуток підприємств (крім доходів у вигляді дивідендів по акціях, інвестиційних сертифікатах, які виплачуються інститутами спільного інвестування)</w:t>
            </w:r>
            <w:r>
              <w:rPr>
                <w:rFonts w:ascii="Times New Roman" w:hAnsi="Times New Roman" w:cs="Times New Roman"/>
                <w:lang w:val="uk-UA"/>
              </w:rPr>
              <w:t>»</w:t>
            </w:r>
            <w:r w:rsidRPr="00B66D46">
              <w:rPr>
                <w:rFonts w:ascii="Times New Roman" w:hAnsi="Times New Roman" w:cs="Times New Roman"/>
                <w:lang w:val="uk-UA"/>
              </w:rPr>
              <w:t>;</w:t>
            </w:r>
          </w:p>
          <w:p w:rsidR="00B66D46" w:rsidRPr="00B66D46" w:rsidRDefault="00B66D46" w:rsidP="00B66D46">
            <w:pPr>
              <w:jc w:val="both"/>
              <w:rPr>
                <w:rFonts w:ascii="Times New Roman" w:hAnsi="Times New Roman" w:cs="Times New Roman"/>
                <w:lang w:val="uk-UA"/>
              </w:rPr>
            </w:pPr>
          </w:p>
          <w:p w:rsidR="00B66D46" w:rsidRPr="00B66D46" w:rsidRDefault="00B66D46" w:rsidP="00B66D46">
            <w:pPr>
              <w:jc w:val="both"/>
              <w:rPr>
                <w:rFonts w:ascii="Times New Roman" w:hAnsi="Times New Roman" w:cs="Times New Roman"/>
                <w:lang w:val="uk-UA"/>
              </w:rPr>
            </w:pPr>
            <w:r>
              <w:rPr>
                <w:rFonts w:ascii="Times New Roman" w:hAnsi="Times New Roman" w:cs="Times New Roman"/>
                <w:lang w:val="uk-UA"/>
              </w:rPr>
              <w:t>«</w:t>
            </w:r>
            <w:r w:rsidRPr="00B66D46">
              <w:rPr>
                <w:rFonts w:ascii="Times New Roman" w:hAnsi="Times New Roman" w:cs="Times New Roman"/>
                <w:lang w:val="uk-UA"/>
              </w:rPr>
              <w:t xml:space="preserve">167.5.4. у половинному розмірі ставки, встановленої у пункті 167.1 </w:t>
            </w:r>
            <w:r w:rsidRPr="00B66D46">
              <w:rPr>
                <w:rFonts w:ascii="Times New Roman" w:hAnsi="Times New Roman" w:cs="Times New Roman"/>
                <w:lang w:val="uk-UA"/>
              </w:rPr>
              <w:lastRenderedPageBreak/>
              <w:t xml:space="preserve">цієї статті </w:t>
            </w:r>
            <w:r>
              <w:rPr>
                <w:rFonts w:ascii="Times New Roman" w:hAnsi="Times New Roman" w:cs="Times New Roman"/>
                <w:lang w:val="uk-UA"/>
              </w:rPr>
              <w:t>–</w:t>
            </w:r>
            <w:r w:rsidRPr="00B66D46">
              <w:rPr>
                <w:rFonts w:ascii="Times New Roman" w:hAnsi="Times New Roman" w:cs="Times New Roman"/>
                <w:lang w:val="uk-UA"/>
              </w:rPr>
              <w:t xml:space="preserve"> для доходів у вигляді дивідендів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w:t>
            </w:r>
            <w:r>
              <w:rPr>
                <w:rFonts w:ascii="Times New Roman" w:hAnsi="Times New Roman" w:cs="Times New Roman"/>
                <w:lang w:val="uk-UA"/>
              </w:rPr>
              <w:t>»</w:t>
            </w:r>
            <w:r w:rsidRPr="00B66D46">
              <w:rPr>
                <w:rFonts w:ascii="Times New Roman" w:hAnsi="Times New Roman" w:cs="Times New Roman"/>
                <w:lang w:val="uk-UA"/>
              </w:rPr>
              <w:t>.</w:t>
            </w:r>
          </w:p>
        </w:tc>
        <w:tc>
          <w:tcPr>
            <w:tcW w:w="7393" w:type="dxa"/>
          </w:tcPr>
          <w:p w:rsidR="00B66D46" w:rsidRPr="00B66D46" w:rsidRDefault="00B66D46" w:rsidP="00B66D46">
            <w:pPr>
              <w:jc w:val="center"/>
              <w:rPr>
                <w:rFonts w:ascii="Times New Roman" w:hAnsi="Times New Roman" w:cs="Times New Roman"/>
                <w:b/>
                <w:lang w:val="uk-UA"/>
              </w:rPr>
            </w:pPr>
            <w:r w:rsidRPr="00B66D46">
              <w:rPr>
                <w:rFonts w:ascii="Times New Roman" w:hAnsi="Times New Roman" w:cs="Times New Roman"/>
                <w:b/>
                <w:lang w:val="uk-UA"/>
              </w:rPr>
              <w:lastRenderedPageBreak/>
              <w:t>РОЗДІЛ IV. ПОДАТОК НА ДОХОДИ ФІЗИЧНИХ ОСІБ</w:t>
            </w:r>
          </w:p>
          <w:p w:rsidR="00B66D46" w:rsidRDefault="00B66D46" w:rsidP="00B66D46">
            <w:pPr>
              <w:jc w:val="center"/>
              <w:rPr>
                <w:rFonts w:ascii="Times New Roman" w:hAnsi="Times New Roman" w:cs="Times New Roman"/>
                <w:lang w:val="uk-UA"/>
              </w:rPr>
            </w:pPr>
            <w:r w:rsidRPr="00B66D46">
              <w:rPr>
                <w:rFonts w:ascii="Times New Roman" w:hAnsi="Times New Roman" w:cs="Times New Roman"/>
                <w:b/>
                <w:lang w:val="uk-UA"/>
              </w:rPr>
              <w:t>Стаття 167.</w:t>
            </w:r>
            <w:r w:rsidRPr="00B66D46">
              <w:rPr>
                <w:rFonts w:ascii="Times New Roman" w:hAnsi="Times New Roman" w:cs="Times New Roman"/>
                <w:lang w:val="uk-UA"/>
              </w:rPr>
              <w:t xml:space="preserve"> Ставки податку</w:t>
            </w:r>
          </w:p>
          <w:p w:rsidR="00B66D46" w:rsidRDefault="00B66D46" w:rsidP="00B66D46">
            <w:pPr>
              <w:jc w:val="both"/>
              <w:rPr>
                <w:rFonts w:ascii="Times New Roman" w:hAnsi="Times New Roman" w:cs="Times New Roman"/>
                <w:lang w:val="uk-UA"/>
              </w:rPr>
            </w:pPr>
            <w:r w:rsidRPr="00B66D46">
              <w:rPr>
                <w:rFonts w:ascii="Times New Roman" w:hAnsi="Times New Roman" w:cs="Times New Roman"/>
                <w:lang w:val="uk-UA"/>
              </w:rPr>
              <w:t>167.5. Ставки податку на пасивні доходи до бази оподаткування встановлюються у таких розмірах:</w:t>
            </w:r>
          </w:p>
          <w:p w:rsidR="00B66D46" w:rsidRDefault="00B66D46" w:rsidP="00B66D46">
            <w:pPr>
              <w:jc w:val="both"/>
              <w:rPr>
                <w:rFonts w:ascii="Times New Roman" w:hAnsi="Times New Roman" w:cs="Times New Roman"/>
                <w:lang w:val="uk-UA"/>
              </w:rPr>
            </w:pPr>
            <w:r w:rsidRPr="00B66D46">
              <w:rPr>
                <w:rFonts w:ascii="Times New Roman" w:hAnsi="Times New Roman" w:cs="Times New Roman"/>
                <w:lang w:val="uk-UA"/>
              </w:rPr>
              <w:t xml:space="preserve">167.5.2. </w:t>
            </w:r>
            <w:r>
              <w:rPr>
                <w:rFonts w:ascii="Times New Roman" w:hAnsi="Times New Roman" w:cs="Times New Roman"/>
                <w:lang w:val="uk-UA"/>
              </w:rPr>
              <w:t xml:space="preserve">– </w:t>
            </w:r>
            <w:r w:rsidRPr="00DF4FE5">
              <w:rPr>
                <w:rFonts w:ascii="Times New Roman" w:hAnsi="Times New Roman" w:cs="Times New Roman"/>
                <w:b/>
                <w:lang w:val="uk-UA"/>
              </w:rPr>
              <w:t>Виключити</w:t>
            </w:r>
            <w:r>
              <w:rPr>
                <w:rFonts w:ascii="Times New Roman" w:hAnsi="Times New Roman" w:cs="Times New Roman"/>
                <w:lang w:val="uk-UA"/>
              </w:rPr>
              <w:t>.</w:t>
            </w:r>
          </w:p>
          <w:p w:rsidR="00B66D46" w:rsidRDefault="00B66D46" w:rsidP="00B66D46">
            <w:pPr>
              <w:jc w:val="both"/>
              <w:rPr>
                <w:rFonts w:ascii="Times New Roman" w:hAnsi="Times New Roman" w:cs="Times New Roman"/>
                <w:lang w:val="uk-UA"/>
              </w:rPr>
            </w:pPr>
          </w:p>
          <w:p w:rsidR="00B66D46" w:rsidRDefault="00B66D46" w:rsidP="00B66D46">
            <w:pPr>
              <w:jc w:val="both"/>
              <w:rPr>
                <w:rFonts w:ascii="Times New Roman" w:hAnsi="Times New Roman" w:cs="Times New Roman"/>
                <w:lang w:val="uk-UA"/>
              </w:rPr>
            </w:pPr>
          </w:p>
          <w:p w:rsidR="00B66D46" w:rsidRDefault="00B66D46" w:rsidP="00B66D46">
            <w:pPr>
              <w:jc w:val="both"/>
              <w:rPr>
                <w:rFonts w:ascii="Times New Roman" w:hAnsi="Times New Roman" w:cs="Times New Roman"/>
                <w:lang w:val="uk-UA"/>
              </w:rPr>
            </w:pPr>
          </w:p>
          <w:p w:rsidR="00B66D46" w:rsidRDefault="00B66D46" w:rsidP="00B66D46">
            <w:pPr>
              <w:jc w:val="both"/>
              <w:rPr>
                <w:rFonts w:ascii="Times New Roman" w:hAnsi="Times New Roman" w:cs="Times New Roman"/>
                <w:lang w:val="uk-UA"/>
              </w:rPr>
            </w:pPr>
          </w:p>
          <w:p w:rsidR="00B66D46" w:rsidRDefault="00B66D46" w:rsidP="00B66D46">
            <w:pPr>
              <w:jc w:val="both"/>
              <w:rPr>
                <w:rFonts w:ascii="Times New Roman" w:hAnsi="Times New Roman" w:cs="Times New Roman"/>
                <w:lang w:val="uk-UA"/>
              </w:rPr>
            </w:pPr>
          </w:p>
          <w:p w:rsidR="00B66D46" w:rsidRPr="009A58F1" w:rsidRDefault="00B66D46" w:rsidP="00B66D46">
            <w:pPr>
              <w:jc w:val="both"/>
              <w:rPr>
                <w:rFonts w:ascii="Times New Roman" w:hAnsi="Times New Roman" w:cs="Times New Roman"/>
                <w:lang w:val="uk-UA"/>
              </w:rPr>
            </w:pPr>
            <w:r w:rsidRPr="00B66D46">
              <w:rPr>
                <w:rFonts w:ascii="Times New Roman" w:hAnsi="Times New Roman" w:cs="Times New Roman"/>
                <w:lang w:val="uk-UA"/>
              </w:rPr>
              <w:t>167.5.4</w:t>
            </w:r>
            <w:r>
              <w:rPr>
                <w:rFonts w:ascii="Times New Roman" w:hAnsi="Times New Roman" w:cs="Times New Roman"/>
                <w:lang w:val="uk-UA"/>
              </w:rPr>
              <w:t xml:space="preserve">. – </w:t>
            </w:r>
            <w:r w:rsidRPr="00DF4FE5">
              <w:rPr>
                <w:rFonts w:ascii="Times New Roman" w:hAnsi="Times New Roman" w:cs="Times New Roman"/>
                <w:b/>
                <w:lang w:val="uk-UA"/>
              </w:rPr>
              <w:t>Виключити</w:t>
            </w:r>
            <w:r>
              <w:rPr>
                <w:rFonts w:ascii="Times New Roman" w:hAnsi="Times New Roman" w:cs="Times New Roman"/>
                <w:lang w:val="uk-UA"/>
              </w:rPr>
              <w:t xml:space="preserve">. </w:t>
            </w:r>
          </w:p>
        </w:tc>
      </w:tr>
    </w:tbl>
    <w:p w:rsidR="00CD407A" w:rsidRDefault="00CD407A" w:rsidP="00CD407A">
      <w:pPr>
        <w:jc w:val="center"/>
        <w:rPr>
          <w:rFonts w:ascii="Times New Roman" w:hAnsi="Times New Roman" w:cs="Times New Roman"/>
          <w:sz w:val="28"/>
          <w:szCs w:val="28"/>
          <w:lang w:val="uk-UA"/>
        </w:rPr>
      </w:pPr>
    </w:p>
    <w:p w:rsidR="001F6EEC" w:rsidRDefault="001F6EEC" w:rsidP="00CD407A">
      <w:pPr>
        <w:jc w:val="center"/>
        <w:rPr>
          <w:rFonts w:ascii="Times New Roman" w:hAnsi="Times New Roman" w:cs="Times New Roman"/>
          <w:sz w:val="28"/>
          <w:szCs w:val="28"/>
          <w:lang w:val="uk-UA"/>
        </w:rPr>
      </w:pPr>
    </w:p>
    <w:p w:rsidR="00CD407A" w:rsidRDefault="00CD407A" w:rsidP="00CD407A">
      <w:pPr>
        <w:jc w:val="center"/>
        <w:rPr>
          <w:rFonts w:ascii="Times New Roman" w:hAnsi="Times New Roman" w:cs="Times New Roman"/>
          <w:sz w:val="28"/>
          <w:szCs w:val="28"/>
          <w:lang w:val="uk-UA"/>
        </w:rPr>
      </w:pPr>
    </w:p>
    <w:p w:rsidR="00CD407A" w:rsidRDefault="00CD407A" w:rsidP="00CD407A">
      <w:pPr>
        <w:ind w:firstLine="567"/>
        <w:jc w:val="both"/>
        <w:rPr>
          <w:rFonts w:ascii="Times New Roman" w:hAnsi="Times New Roman" w:cs="Times New Roman"/>
          <w:sz w:val="28"/>
          <w:szCs w:val="28"/>
          <w:lang w:val="uk-UA"/>
        </w:rPr>
      </w:pPr>
      <w:r w:rsidRPr="00051186">
        <w:rPr>
          <w:rFonts w:ascii="Times New Roman" w:eastAsia="Calibri" w:hAnsi="Times New Roman"/>
          <w:b/>
          <w:sz w:val="28"/>
          <w:szCs w:val="28"/>
          <w:lang w:val="uk-UA" w:eastAsia="ru-RU"/>
        </w:rPr>
        <w:t>Народн</w:t>
      </w:r>
      <w:r>
        <w:rPr>
          <w:rFonts w:ascii="Times New Roman" w:eastAsia="Calibri" w:hAnsi="Times New Roman"/>
          <w:b/>
          <w:sz w:val="28"/>
          <w:szCs w:val="28"/>
          <w:lang w:val="uk-UA" w:eastAsia="ru-RU"/>
        </w:rPr>
        <w:t>ий</w:t>
      </w:r>
      <w:r w:rsidRPr="00051186">
        <w:rPr>
          <w:rFonts w:ascii="Times New Roman" w:eastAsia="Calibri" w:hAnsi="Times New Roman"/>
          <w:b/>
          <w:sz w:val="28"/>
          <w:szCs w:val="28"/>
          <w:lang w:val="uk-UA" w:eastAsia="ru-RU"/>
        </w:rPr>
        <w:t xml:space="preserve"> депутат України</w:t>
      </w:r>
      <w:r>
        <w:rPr>
          <w:rFonts w:ascii="Times New Roman" w:eastAsia="Calibri" w:hAnsi="Times New Roman"/>
          <w:b/>
          <w:sz w:val="28"/>
          <w:szCs w:val="28"/>
          <w:lang w:val="uk-UA" w:eastAsia="ru-RU"/>
        </w:rPr>
        <w:t xml:space="preserve"> </w:t>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Pr>
          <w:rFonts w:ascii="Times New Roman" w:eastAsia="Calibri" w:hAnsi="Times New Roman"/>
          <w:b/>
          <w:sz w:val="28"/>
          <w:szCs w:val="28"/>
          <w:lang w:val="uk-UA" w:eastAsia="ru-RU"/>
        </w:rPr>
        <w:tab/>
      </w:r>
      <w:r w:rsidR="00237981">
        <w:rPr>
          <w:rFonts w:ascii="Times New Roman" w:eastAsia="Calibri" w:hAnsi="Times New Roman"/>
          <w:b/>
          <w:sz w:val="28"/>
          <w:szCs w:val="28"/>
          <w:lang w:val="uk-UA" w:eastAsia="ru-RU"/>
        </w:rPr>
        <w:t>КОЛТУНОВИЧ О.С.</w:t>
      </w:r>
    </w:p>
    <w:sectPr w:rsidR="00CD407A" w:rsidSect="00CD407A">
      <w:pgSz w:w="16838" w:h="11906" w:orient="landscape"/>
      <w:pgMar w:top="851" w:right="1134"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ndara">
    <w:panose1 w:val="020E0502030303020204"/>
    <w:charset w:val="CC"/>
    <w:family w:val="swiss"/>
    <w:pitch w:val="variable"/>
    <w:sig w:usb0="A00002EF" w:usb1="4000A44B" w:usb2="00000000" w:usb3="00000000" w:csb0="0000019F" w:csb1="00000000"/>
  </w:font>
  <w:font w:name="Times New Roman">
    <w:panose1 w:val="02020603050405020304"/>
    <w:charset w:val="CC"/>
    <w:family w:val="roman"/>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8000012"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D407A"/>
    <w:rsid w:val="001E7653"/>
    <w:rsid w:val="001F6EEC"/>
    <w:rsid w:val="00237981"/>
    <w:rsid w:val="003376BF"/>
    <w:rsid w:val="007C443D"/>
    <w:rsid w:val="009A58F1"/>
    <w:rsid w:val="00B66D46"/>
    <w:rsid w:val="00CD407A"/>
    <w:rsid w:val="00D527A2"/>
    <w:rsid w:val="00DD4DB4"/>
    <w:rsid w:val="00DE120A"/>
    <w:rsid w:val="00DF4F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7A2"/>
  </w:style>
  <w:style w:type="paragraph" w:styleId="1">
    <w:name w:val="heading 1"/>
    <w:basedOn w:val="a"/>
    <w:link w:val="10"/>
    <w:uiPriority w:val="9"/>
    <w:qFormat/>
    <w:rsid w:val="00D527A2"/>
    <w:pPr>
      <w:spacing w:before="100" w:beforeAutospacing="1" w:after="100" w:afterAutospacing="1"/>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27A2"/>
    <w:rPr>
      <w:rFonts w:ascii="Times" w:hAnsi="Times"/>
      <w:b/>
      <w:bCs/>
      <w:kern w:val="36"/>
      <w:sz w:val="48"/>
      <w:szCs w:val="48"/>
    </w:rPr>
  </w:style>
  <w:style w:type="paragraph" w:styleId="a3">
    <w:name w:val="List Paragraph"/>
    <w:basedOn w:val="a"/>
    <w:uiPriority w:val="34"/>
    <w:qFormat/>
    <w:rsid w:val="00D527A2"/>
    <w:pPr>
      <w:ind w:left="720"/>
      <w:contextualSpacing/>
    </w:pPr>
  </w:style>
  <w:style w:type="table" w:styleId="a4">
    <w:name w:val="Table Grid"/>
    <w:basedOn w:val="a1"/>
    <w:uiPriority w:val="59"/>
    <w:rsid w:val="00CD40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7A2"/>
  </w:style>
  <w:style w:type="paragraph" w:styleId="1">
    <w:name w:val="heading 1"/>
    <w:basedOn w:val="a"/>
    <w:link w:val="10"/>
    <w:uiPriority w:val="9"/>
    <w:qFormat/>
    <w:rsid w:val="00D527A2"/>
    <w:pPr>
      <w:spacing w:before="100" w:beforeAutospacing="1" w:after="100" w:afterAutospacing="1"/>
      <w:outlineLvl w:val="0"/>
    </w:pPr>
    <w:rPr>
      <w:rFonts w:ascii="Times" w:hAnsi="Times"/>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27A2"/>
    <w:rPr>
      <w:rFonts w:ascii="Times" w:hAnsi="Times"/>
      <w:b/>
      <w:bCs/>
      <w:kern w:val="36"/>
      <w:sz w:val="48"/>
      <w:szCs w:val="48"/>
    </w:rPr>
  </w:style>
  <w:style w:type="paragraph" w:styleId="a3">
    <w:name w:val="List Paragraph"/>
    <w:basedOn w:val="a"/>
    <w:uiPriority w:val="34"/>
    <w:qFormat/>
    <w:rsid w:val="00D527A2"/>
    <w:pPr>
      <w:ind w:left="720"/>
      <w:contextualSpacing/>
    </w:pPr>
  </w:style>
  <w:style w:type="table" w:styleId="a4">
    <w:name w:val="Table Grid"/>
    <w:basedOn w:val="a1"/>
    <w:uiPriority w:val="59"/>
    <w:rsid w:val="00CD40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Soho">
  <a:themeElements>
    <a:clrScheme name="СОХО">
      <a:dk1>
        <a:srgbClr val="2E2224"/>
      </a:dk1>
      <a:lt1>
        <a:sysClr val="window" lastClr="FFFFFF"/>
      </a:lt1>
      <a:dk2>
        <a:srgbClr val="48231E"/>
      </a:dk2>
      <a:lt2>
        <a:srgbClr val="CBD8DD"/>
      </a:lt2>
      <a:accent1>
        <a:srgbClr val="61625E"/>
      </a:accent1>
      <a:accent2>
        <a:srgbClr val="964D2C"/>
      </a:accent2>
      <a:accent3>
        <a:srgbClr val="66553E"/>
      </a:accent3>
      <a:accent4>
        <a:srgbClr val="848058"/>
      </a:accent4>
      <a:accent5>
        <a:srgbClr val="AFA14B"/>
      </a:accent5>
      <a:accent6>
        <a:srgbClr val="AD7D4D"/>
      </a:accent6>
      <a:hlink>
        <a:srgbClr val="FFDE66"/>
      </a:hlink>
      <a:folHlink>
        <a:srgbClr val="C0AEBC"/>
      </a:folHlink>
    </a:clrScheme>
    <a:fontScheme name="СОХО">
      <a:majorFont>
        <a:latin typeface="Candara"/>
        <a:ea typeface=""/>
        <a:cs typeface=""/>
        <a:font script="Jpan" typeface="ＭＳ Ｐゴシック"/>
        <a:font script="Hang" typeface="HY견명조"/>
        <a:font script="Hans" typeface="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ＭＳ Ｐゴシック"/>
        <a:font script="Hang" typeface="HY견명조"/>
        <a:font script="Hans" typeface="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СОХО">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7000"/>
                <a:satMod val="150000"/>
              </a:schemeClr>
            </a:gs>
            <a:gs pos="30000">
              <a:schemeClr val="phClr">
                <a:shade val="94000"/>
                <a:satMod val="130000"/>
              </a:schemeClr>
            </a:gs>
            <a:gs pos="45000">
              <a:schemeClr val="phClr">
                <a:shade val="100000"/>
                <a:satMod val="120000"/>
              </a:schemeClr>
            </a:gs>
            <a:gs pos="55000">
              <a:schemeClr val="phClr">
                <a:shade val="100000"/>
                <a:satMod val="118000"/>
              </a:schemeClr>
            </a:gs>
            <a:gs pos="73000">
              <a:schemeClr val="phClr">
                <a:shade val="94000"/>
                <a:satMod val="130000"/>
              </a:schemeClr>
            </a:gs>
            <a:gs pos="100000">
              <a:schemeClr val="phClr">
                <a:shade val="67000"/>
                <a:satMod val="150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2700000" algn="br" rotWithShape="0">
              <a:srgbClr val="000000">
                <a:alpha val="40000"/>
              </a:srgbClr>
            </a:outerShdw>
          </a:effectLst>
        </a:effectStyle>
        <a:effectStyle>
          <a:effectLst>
            <a:outerShdw blurRad="50800" dist="38100" dir="2700000" algn="br" rotWithShape="0">
              <a:srgbClr val="000000">
                <a:alpha val="40000"/>
              </a:srgbClr>
            </a:outerShdw>
          </a:effectLst>
        </a:effectStyle>
        <a:effectStyle>
          <a:effectLst>
            <a:outerShdw blurRad="50800" dist="38100" dir="2700000" algn="br" rotWithShape="0">
              <a:srgbClr val="000000">
                <a:alpha val="40000"/>
              </a:srgbClr>
            </a:outerShdw>
          </a:effectLst>
          <a:scene3d>
            <a:camera prst="orthographicFront">
              <a:rot lat="0" lon="0" rev="0"/>
            </a:camera>
            <a:lightRig rig="threePt" dir="t">
              <a:rot lat="0" lon="0" rev="2700000"/>
            </a:lightRig>
          </a:scene3d>
          <a:sp3d contourW="19050">
            <a:bevelT w="31750" h="38100"/>
            <a:contourClr>
              <a:schemeClr val="phClr">
                <a:shade val="15000"/>
                <a:satMod val="110000"/>
              </a:schemeClr>
            </a:contourClr>
          </a:sp3d>
        </a:effectStyle>
      </a:effectStyleLst>
      <a:bgFillStyleLst>
        <a:solidFill>
          <a:schemeClr val="phClr"/>
        </a:solidFill>
        <a:gradFill rotWithShape="1">
          <a:gsLst>
            <a:gs pos="0">
              <a:schemeClr val="phClr">
                <a:tint val="64000"/>
                <a:satMod val="210000"/>
              </a:schemeClr>
            </a:gs>
            <a:gs pos="40000">
              <a:schemeClr val="phClr">
                <a:tint val="72000"/>
                <a:shade val="99000"/>
                <a:satMod val="200000"/>
              </a:schemeClr>
            </a:gs>
            <a:gs pos="100000">
              <a:schemeClr val="phClr">
                <a:tint val="100000"/>
                <a:shade val="30000"/>
                <a:alpha val="100000"/>
                <a:satMod val="175000"/>
                <a:lumMod val="100000"/>
              </a:schemeClr>
            </a:gs>
          </a:gsLst>
          <a:path path="circle">
            <a:fillToRect l="50000" t="-80000" r="50000" b="180000"/>
          </a:path>
        </a:gradFill>
        <a:blipFill rotWithShape="1">
          <a:blip xmlns:r="http://schemas.openxmlformats.org/officeDocument/2006/relationships" r:embed="rId1">
            <a:duotone>
              <a:schemeClr val="phClr">
                <a:tint val="86000"/>
                <a:alpha val="90000"/>
              </a:schemeClr>
              <a:schemeClr val="phClr">
                <a:shade val="49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6F376-9256-4569-A687-2480357DD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2577</Characters>
  <Application>Microsoft Office Word</Application>
  <DocSecurity>0</DocSecurity>
  <Lines>21</Lines>
  <Paragraphs>6</Paragraphs>
  <ScaleCrop>false</ScaleCrop>
  <Company/>
  <LinksUpToDate>false</LinksUpToDate>
  <CharactersWithSpaces>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user</cp:lastModifiedBy>
  <cp:revision>2</cp:revision>
  <dcterms:created xsi:type="dcterms:W3CDTF">2019-11-14T14:04:00Z</dcterms:created>
  <dcterms:modified xsi:type="dcterms:W3CDTF">2019-11-14T14:04:00Z</dcterms:modified>
</cp:coreProperties>
</file>