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75FA" w:rsidRPr="001C75FA" w:rsidRDefault="001C75FA" w:rsidP="001C75FA">
      <w:pPr>
        <w:spacing w:after="0" w:line="240" w:lineRule="auto"/>
        <w:ind w:firstLine="709"/>
        <w:jc w:val="right"/>
        <w:rPr>
          <w:rFonts w:ascii="Times New Roman" w:hAnsi="Times New Roman"/>
          <w:sz w:val="24"/>
          <w:szCs w:val="24"/>
        </w:rPr>
      </w:pPr>
      <w:r w:rsidRPr="001C75FA">
        <w:rPr>
          <w:rFonts w:ascii="Times New Roman" w:hAnsi="Times New Roman"/>
          <w:sz w:val="24"/>
          <w:szCs w:val="24"/>
        </w:rPr>
        <w:t>До № 2398-д від 27.11.2019</w:t>
      </w:r>
    </w:p>
    <w:p w:rsidR="001C75FA" w:rsidRPr="001C75FA" w:rsidRDefault="001C75FA" w:rsidP="001C75FA">
      <w:pPr>
        <w:spacing w:after="0" w:line="240" w:lineRule="auto"/>
        <w:ind w:firstLine="709"/>
        <w:jc w:val="right"/>
        <w:rPr>
          <w:rFonts w:ascii="Times New Roman" w:hAnsi="Times New Roman"/>
          <w:sz w:val="24"/>
          <w:szCs w:val="24"/>
        </w:rPr>
      </w:pPr>
      <w:r w:rsidRPr="001C75FA">
        <w:rPr>
          <w:rFonts w:ascii="Times New Roman" w:hAnsi="Times New Roman"/>
          <w:sz w:val="24"/>
          <w:szCs w:val="24"/>
        </w:rPr>
        <w:t>(</w:t>
      </w:r>
      <w:r w:rsidR="00D222FE">
        <w:rPr>
          <w:rFonts w:ascii="Times New Roman" w:hAnsi="Times New Roman"/>
          <w:sz w:val="24"/>
          <w:szCs w:val="24"/>
        </w:rPr>
        <w:t xml:space="preserve">повторне </w:t>
      </w:r>
      <w:bookmarkStart w:id="0" w:name="_GoBack"/>
      <w:bookmarkEnd w:id="0"/>
      <w:r w:rsidRPr="001C75FA">
        <w:rPr>
          <w:rFonts w:ascii="Times New Roman" w:hAnsi="Times New Roman"/>
          <w:sz w:val="24"/>
          <w:szCs w:val="24"/>
        </w:rPr>
        <w:t>друге читання)</w:t>
      </w:r>
    </w:p>
    <w:p w:rsidR="001C75FA" w:rsidRPr="00CE752B" w:rsidRDefault="001C75FA" w:rsidP="001C75FA">
      <w:pPr>
        <w:ind w:firstLine="709"/>
        <w:jc w:val="center"/>
        <w:rPr>
          <w:b/>
        </w:rPr>
      </w:pPr>
    </w:p>
    <w:p w:rsidR="001C75FA" w:rsidRPr="00D146A1" w:rsidRDefault="001C75FA" w:rsidP="001C75FA">
      <w:pPr>
        <w:jc w:val="right"/>
        <w:rPr>
          <w:szCs w:val="28"/>
        </w:rPr>
      </w:pPr>
    </w:p>
    <w:p w:rsidR="001C75FA" w:rsidRPr="001C75FA" w:rsidRDefault="001C75FA" w:rsidP="001C75FA">
      <w:pPr>
        <w:spacing w:after="0" w:line="240" w:lineRule="auto"/>
        <w:jc w:val="center"/>
        <w:rPr>
          <w:rFonts w:ascii="Times New Roman" w:hAnsi="Times New Roman"/>
          <w:b/>
          <w:sz w:val="28"/>
          <w:szCs w:val="28"/>
        </w:rPr>
      </w:pPr>
      <w:r w:rsidRPr="001C75FA">
        <w:rPr>
          <w:rFonts w:ascii="Times New Roman" w:hAnsi="Times New Roman"/>
          <w:b/>
          <w:sz w:val="28"/>
          <w:szCs w:val="28"/>
        </w:rPr>
        <w:t xml:space="preserve">Висновок юридичної експертизи </w:t>
      </w:r>
    </w:p>
    <w:p w:rsidR="001C75FA" w:rsidRPr="001C75FA" w:rsidRDefault="001C75FA" w:rsidP="001C75FA">
      <w:pPr>
        <w:spacing w:after="0" w:line="240" w:lineRule="auto"/>
        <w:jc w:val="center"/>
        <w:rPr>
          <w:rFonts w:ascii="Times New Roman" w:hAnsi="Times New Roman"/>
          <w:b/>
          <w:sz w:val="28"/>
          <w:szCs w:val="28"/>
        </w:rPr>
      </w:pPr>
      <w:r w:rsidRPr="001C75FA">
        <w:rPr>
          <w:rFonts w:ascii="Times New Roman" w:hAnsi="Times New Roman"/>
          <w:b/>
          <w:sz w:val="28"/>
          <w:szCs w:val="28"/>
        </w:rPr>
        <w:t>до проекту Закону України про оборонні закупівлі</w:t>
      </w:r>
    </w:p>
    <w:p w:rsidR="001C75FA" w:rsidRPr="001C75FA" w:rsidRDefault="001C75FA" w:rsidP="001C75FA">
      <w:pPr>
        <w:spacing w:after="0" w:line="240" w:lineRule="auto"/>
        <w:jc w:val="center"/>
        <w:rPr>
          <w:rFonts w:ascii="Times New Roman" w:hAnsi="Times New Roman"/>
          <w:sz w:val="28"/>
          <w:szCs w:val="28"/>
        </w:rPr>
      </w:pPr>
      <w:r w:rsidRPr="001C75FA">
        <w:rPr>
          <w:rFonts w:ascii="Times New Roman" w:hAnsi="Times New Roman"/>
          <w:sz w:val="28"/>
          <w:szCs w:val="28"/>
        </w:rPr>
        <w:t xml:space="preserve">(реєстраційний № 2398-д) </w:t>
      </w:r>
    </w:p>
    <w:p w:rsidR="001C75FA" w:rsidRPr="0000085E" w:rsidRDefault="001C75FA" w:rsidP="001C75FA">
      <w:pPr>
        <w:jc w:val="center"/>
        <w:rPr>
          <w:rFonts w:ascii="Times New Roman" w:hAnsi="Times New Roman"/>
          <w:sz w:val="16"/>
          <w:szCs w:val="16"/>
        </w:rPr>
      </w:pPr>
    </w:p>
    <w:p w:rsidR="001C75FA" w:rsidRPr="001C75FA" w:rsidRDefault="001C75FA" w:rsidP="001C75FA">
      <w:pPr>
        <w:spacing w:after="120" w:line="264" w:lineRule="auto"/>
        <w:ind w:firstLine="851"/>
        <w:jc w:val="both"/>
        <w:rPr>
          <w:rFonts w:ascii="Times New Roman" w:hAnsi="Times New Roman"/>
          <w:sz w:val="28"/>
          <w:szCs w:val="28"/>
        </w:rPr>
      </w:pPr>
      <w:r w:rsidRPr="001C75FA">
        <w:rPr>
          <w:rFonts w:ascii="Times New Roman" w:hAnsi="Times New Roman"/>
          <w:sz w:val="28"/>
          <w:szCs w:val="28"/>
        </w:rPr>
        <w:t xml:space="preserve">У Головному юридичному управлінні </w:t>
      </w:r>
      <w:r w:rsidR="00FA4893">
        <w:rPr>
          <w:rFonts w:ascii="Times New Roman" w:hAnsi="Times New Roman"/>
          <w:sz w:val="28"/>
          <w:szCs w:val="28"/>
        </w:rPr>
        <w:t>здійснено юридичну експертизу</w:t>
      </w:r>
      <w:r w:rsidRPr="001C75FA">
        <w:rPr>
          <w:rFonts w:ascii="Times New Roman" w:hAnsi="Times New Roman"/>
          <w:sz w:val="28"/>
          <w:szCs w:val="28"/>
        </w:rPr>
        <w:t xml:space="preserve"> </w:t>
      </w:r>
      <w:r w:rsidR="0000085E" w:rsidRPr="001C75FA">
        <w:rPr>
          <w:rFonts w:ascii="Times New Roman" w:hAnsi="Times New Roman"/>
          <w:sz w:val="28"/>
          <w:szCs w:val="28"/>
        </w:rPr>
        <w:t>проекту Закону України про оборонні закупівлі</w:t>
      </w:r>
      <w:r w:rsidR="0000085E">
        <w:rPr>
          <w:rFonts w:ascii="Times New Roman" w:hAnsi="Times New Roman"/>
          <w:sz w:val="28"/>
          <w:szCs w:val="28"/>
        </w:rPr>
        <w:t>,</w:t>
      </w:r>
      <w:r w:rsidR="0000085E" w:rsidRPr="001C75FA">
        <w:rPr>
          <w:rFonts w:ascii="Times New Roman" w:hAnsi="Times New Roman"/>
          <w:sz w:val="28"/>
          <w:szCs w:val="28"/>
        </w:rPr>
        <w:t xml:space="preserve"> </w:t>
      </w:r>
      <w:r w:rsidRPr="001C75FA">
        <w:rPr>
          <w:rFonts w:ascii="Times New Roman" w:hAnsi="Times New Roman"/>
          <w:sz w:val="28"/>
          <w:szCs w:val="28"/>
        </w:rPr>
        <w:t>підготовленого до повторного другого читання Комітетом з питань національної безпеки, оборони та розвідки.</w:t>
      </w:r>
    </w:p>
    <w:p w:rsidR="001C75FA" w:rsidRPr="001C75FA" w:rsidRDefault="001C75FA" w:rsidP="001C75FA">
      <w:pPr>
        <w:spacing w:after="120" w:line="264" w:lineRule="auto"/>
        <w:ind w:firstLine="708"/>
        <w:jc w:val="both"/>
        <w:rPr>
          <w:rFonts w:ascii="Times New Roman" w:hAnsi="Times New Roman"/>
          <w:color w:val="000000"/>
          <w:sz w:val="28"/>
          <w:szCs w:val="28"/>
        </w:rPr>
      </w:pPr>
      <w:r w:rsidRPr="001C75FA">
        <w:rPr>
          <w:rFonts w:ascii="Times New Roman" w:hAnsi="Times New Roman"/>
          <w:sz w:val="28"/>
          <w:szCs w:val="28"/>
        </w:rPr>
        <w:t>За наслідками проведеної експертизи зазначаємо, що о</w:t>
      </w:r>
      <w:r w:rsidRPr="001C75FA">
        <w:rPr>
          <w:rFonts w:ascii="Times New Roman" w:hAnsi="Times New Roman"/>
          <w:color w:val="000000"/>
          <w:sz w:val="28"/>
          <w:szCs w:val="28"/>
        </w:rPr>
        <w:t>кремі положення законопроекту не узгоджуються з нормами Конституції та законів України, а також не враховують правової позиції Конституційного Суду України, викладеної у відповідних рішеннях.</w:t>
      </w:r>
    </w:p>
    <w:p w:rsidR="001C75FA" w:rsidRPr="001C75FA" w:rsidRDefault="001C75FA" w:rsidP="001C75FA">
      <w:pPr>
        <w:spacing w:after="120" w:line="264" w:lineRule="auto"/>
        <w:ind w:firstLine="708"/>
        <w:jc w:val="both"/>
        <w:rPr>
          <w:rFonts w:ascii="Times New Roman" w:hAnsi="Times New Roman"/>
          <w:sz w:val="28"/>
          <w:szCs w:val="28"/>
        </w:rPr>
      </w:pPr>
      <w:r w:rsidRPr="001C75FA">
        <w:rPr>
          <w:rFonts w:ascii="Times New Roman" w:hAnsi="Times New Roman"/>
          <w:sz w:val="28"/>
          <w:szCs w:val="28"/>
        </w:rPr>
        <w:t xml:space="preserve">1. </w:t>
      </w:r>
      <w:r w:rsidRPr="001C75FA">
        <w:rPr>
          <w:rFonts w:ascii="Times New Roman" w:hAnsi="Times New Roman"/>
          <w:color w:val="000000"/>
          <w:sz w:val="28"/>
          <w:szCs w:val="28"/>
        </w:rPr>
        <w:t xml:space="preserve">Низка положень законопроекту не відповідає конституційним принципам верховенства права та визначенню України правовою державою (статті 1 та 8 Конституції України), однією з основних умов реалізації яких є правова визначеність. Принцип правової визначеності передбачає, насамперед, ясність та недвозначність викладення правових приписів, відсутність внутрішніх суперечностей у нормативно-правовому акті та узгодженість з іншими законами. </w:t>
      </w:r>
      <w:r w:rsidRPr="001C75FA">
        <w:rPr>
          <w:rFonts w:ascii="Times New Roman" w:hAnsi="Times New Roman"/>
          <w:sz w:val="28"/>
          <w:szCs w:val="28"/>
        </w:rPr>
        <w:t>Зокрема, це стосується:</w:t>
      </w:r>
    </w:p>
    <w:p w:rsidR="001C75FA" w:rsidRPr="001C75FA" w:rsidRDefault="001C75FA" w:rsidP="001C75FA">
      <w:pPr>
        <w:pStyle w:val="af0"/>
        <w:numPr>
          <w:ilvl w:val="0"/>
          <w:numId w:val="16"/>
        </w:numPr>
        <w:tabs>
          <w:tab w:val="left" w:pos="993"/>
        </w:tabs>
        <w:spacing w:after="120" w:line="264" w:lineRule="auto"/>
        <w:ind w:left="0" w:firstLine="708"/>
        <w:contextualSpacing w:val="0"/>
        <w:jc w:val="both"/>
        <w:rPr>
          <w:rFonts w:ascii="Times New Roman" w:hAnsi="Times New Roman"/>
          <w:sz w:val="28"/>
          <w:szCs w:val="28"/>
        </w:rPr>
      </w:pPr>
      <w:r w:rsidRPr="001C75FA">
        <w:rPr>
          <w:rFonts w:ascii="Times New Roman" w:hAnsi="Times New Roman"/>
          <w:sz w:val="28"/>
          <w:szCs w:val="28"/>
        </w:rPr>
        <w:t>співвідношення термінів "ціна" та "вартість", адже під час закупівель товарів, робіт і послуг може йтися лише про грошове відображення вартості товару (послуги, роботи) за його кількісну одиницю, тобто про ціну;</w:t>
      </w:r>
    </w:p>
    <w:p w:rsidR="001C75FA" w:rsidRPr="001C75FA" w:rsidRDefault="001C75FA" w:rsidP="001C75FA">
      <w:pPr>
        <w:tabs>
          <w:tab w:val="left" w:pos="993"/>
        </w:tabs>
        <w:spacing w:after="120" w:line="264" w:lineRule="auto"/>
        <w:ind w:firstLine="708"/>
        <w:jc w:val="both"/>
        <w:rPr>
          <w:rFonts w:ascii="Times New Roman" w:hAnsi="Times New Roman"/>
          <w:sz w:val="28"/>
          <w:szCs w:val="28"/>
        </w:rPr>
      </w:pPr>
      <w:r w:rsidRPr="001C75FA">
        <w:rPr>
          <w:rFonts w:ascii="Times New Roman" w:hAnsi="Times New Roman"/>
          <w:sz w:val="28"/>
          <w:szCs w:val="28"/>
        </w:rPr>
        <w:t>– сфери застосування цього Закону: "цей Закон застосовується …. до визначених цим Законом державних замовників, які здійснюють оборонні закупівлі (абзац другий частини першої статті 2, частина перша статті 32), тоді як законопроект не містить переліку таких державних замовників, а містить, по суті, відсилочну норму на надання права з їх визначення Кабінету Міністрів України (пункт 10 статті 1);</w:t>
      </w:r>
    </w:p>
    <w:p w:rsidR="001C75FA" w:rsidRPr="001C75FA" w:rsidRDefault="001C75FA" w:rsidP="001C75FA">
      <w:pPr>
        <w:pStyle w:val="af0"/>
        <w:numPr>
          <w:ilvl w:val="0"/>
          <w:numId w:val="17"/>
        </w:numPr>
        <w:tabs>
          <w:tab w:val="left" w:pos="993"/>
        </w:tabs>
        <w:spacing w:after="120" w:line="264" w:lineRule="auto"/>
        <w:ind w:left="0" w:firstLine="708"/>
        <w:contextualSpacing w:val="0"/>
        <w:jc w:val="both"/>
        <w:rPr>
          <w:rFonts w:ascii="Times New Roman" w:hAnsi="Times New Roman"/>
          <w:color w:val="000000"/>
          <w:sz w:val="28"/>
          <w:szCs w:val="28"/>
        </w:rPr>
      </w:pPr>
      <w:r w:rsidRPr="001C75FA">
        <w:rPr>
          <w:rFonts w:ascii="Times New Roman" w:hAnsi="Times New Roman"/>
          <w:sz w:val="28"/>
          <w:szCs w:val="28"/>
        </w:rPr>
        <w:lastRenderedPageBreak/>
        <w:t>визначення терміна "служба державного замовника", наведеного в пункті 26 статті 1, що не вживається в тексті законопроекту. Зокрема, д</w:t>
      </w:r>
      <w:r w:rsidRPr="001C75FA">
        <w:rPr>
          <w:rFonts w:ascii="Times New Roman" w:hAnsi="Times New Roman"/>
          <w:color w:val="000000"/>
          <w:sz w:val="28"/>
          <w:szCs w:val="28"/>
        </w:rPr>
        <w:t xml:space="preserve">ефініція терміна </w:t>
      </w:r>
      <w:r w:rsidRPr="001C75FA">
        <w:rPr>
          <w:rFonts w:ascii="Times New Roman" w:hAnsi="Times New Roman"/>
          <w:sz w:val="28"/>
          <w:szCs w:val="28"/>
        </w:rPr>
        <w:t>"</w:t>
      </w:r>
      <w:r w:rsidRPr="001C75FA">
        <w:rPr>
          <w:rFonts w:ascii="Times New Roman" w:hAnsi="Times New Roman"/>
          <w:color w:val="000000"/>
          <w:sz w:val="28"/>
          <w:szCs w:val="28"/>
        </w:rPr>
        <w:t>служба державного замовника</w:t>
      </w:r>
      <w:r w:rsidRPr="001C75FA">
        <w:rPr>
          <w:rFonts w:ascii="Times New Roman" w:hAnsi="Times New Roman"/>
          <w:sz w:val="28"/>
          <w:szCs w:val="28"/>
        </w:rPr>
        <w:t xml:space="preserve">", наведена в </w:t>
      </w:r>
      <w:r w:rsidRPr="001C75FA">
        <w:rPr>
          <w:rFonts w:ascii="Times New Roman" w:hAnsi="Times New Roman"/>
          <w:color w:val="000000"/>
          <w:sz w:val="28"/>
          <w:szCs w:val="28"/>
        </w:rPr>
        <w:t>пункті 26 частини першої статті 1, по суті, розширює коло суб’єктів, які можуть бути державними замовниками. При цьому сам державний замовник зможе призначати іншого виконавця державного контракту (договору) вже без відома Кабінету Міністрів України, що містить ризик зловживання правом та зниження рівня контролю Кабінетом Міністрів України за оборонними закупівлями.</w:t>
      </w:r>
    </w:p>
    <w:p w:rsidR="001C75FA" w:rsidRPr="001C75FA" w:rsidRDefault="001C75FA" w:rsidP="001C75FA">
      <w:pPr>
        <w:spacing w:after="120" w:line="264" w:lineRule="auto"/>
        <w:ind w:firstLine="709"/>
        <w:jc w:val="both"/>
        <w:rPr>
          <w:rFonts w:ascii="Times New Roman" w:hAnsi="Times New Roman"/>
          <w:sz w:val="28"/>
          <w:szCs w:val="28"/>
        </w:rPr>
      </w:pPr>
      <w:r w:rsidRPr="001C75FA">
        <w:rPr>
          <w:rFonts w:ascii="Times New Roman" w:hAnsi="Times New Roman"/>
          <w:sz w:val="28"/>
          <w:szCs w:val="28"/>
        </w:rPr>
        <w:t>Не сприятиме також правовій визначеності нечіткість окремих положень законопроекту, що може призвести до їх довільного тлумачення у правозастосовній практиці. Зокрема:</w:t>
      </w:r>
    </w:p>
    <w:p w:rsidR="001C75FA" w:rsidRPr="001C75FA" w:rsidRDefault="001C75FA" w:rsidP="001C75FA">
      <w:pPr>
        <w:spacing w:after="120" w:line="264" w:lineRule="auto"/>
        <w:ind w:firstLine="709"/>
        <w:jc w:val="both"/>
        <w:rPr>
          <w:rFonts w:ascii="Times New Roman" w:hAnsi="Times New Roman"/>
          <w:sz w:val="28"/>
          <w:szCs w:val="28"/>
        </w:rPr>
      </w:pPr>
      <w:r w:rsidRPr="001C75FA">
        <w:rPr>
          <w:rFonts w:ascii="Times New Roman" w:hAnsi="Times New Roman"/>
          <w:sz w:val="28"/>
          <w:szCs w:val="28"/>
        </w:rPr>
        <w:t>– відсутність чітких критеріїв визначення товарів, робіт і послуг, які є "необхідними для виконання завдань з відсічі збройній агресії та відвернення загроз національній безпеці" (пункт 4 частини першої 1 статті 1);</w:t>
      </w:r>
    </w:p>
    <w:p w:rsidR="001C75FA" w:rsidRPr="001C75FA" w:rsidRDefault="001C75FA" w:rsidP="001C75FA">
      <w:pPr>
        <w:spacing w:after="120" w:line="264" w:lineRule="auto"/>
        <w:ind w:firstLine="709"/>
        <w:jc w:val="both"/>
        <w:rPr>
          <w:rFonts w:ascii="Times New Roman" w:hAnsi="Times New Roman"/>
          <w:sz w:val="28"/>
          <w:szCs w:val="28"/>
        </w:rPr>
      </w:pPr>
      <w:r w:rsidRPr="001C75FA">
        <w:rPr>
          <w:rFonts w:ascii="Times New Roman" w:hAnsi="Times New Roman"/>
          <w:sz w:val="28"/>
          <w:szCs w:val="28"/>
        </w:rPr>
        <w:t>– невизначеність правового статусу "відповідальних осіб" державного замовника та "представників" інших державних замовників, з числа яких утворюється міжвідомча комісія державного замовника (частина дванадцята статті 18).</w:t>
      </w:r>
    </w:p>
    <w:p w:rsidR="001C75FA" w:rsidRPr="001C75FA" w:rsidRDefault="001C75FA" w:rsidP="001C75FA">
      <w:pPr>
        <w:pStyle w:val="Igor"/>
        <w:spacing w:before="0" w:line="264" w:lineRule="auto"/>
      </w:pPr>
      <w:r w:rsidRPr="001C75FA">
        <w:rPr>
          <w:color w:val="000000"/>
        </w:rPr>
        <w:t>Звертаємо увагу, що</w:t>
      </w:r>
      <w:r w:rsidRPr="001C75FA">
        <w:t xml:space="preserve"> у рішеннях Конституційного Суду України неодноразово наголошувалося, що принципи правової визначеності, ясності і недвозначності правової норми є визначальними елементами верховенства права, оскільки інше дає підстави для довільних тлумачень законодавчих норм та створює підґрунтя для порушення прав учасників правовідносин (абзац другий підпункту 5.4 пункту 5 мотивувальної частини Рішення Конституційного Суду України від 22.09.2005 року №5, від 29.06.2010 року №17-рп, від 11.10.2011 року №10-рп.). Відповідно до Рішення Конституційного Суду України від 11.10.2018 року №7-р невідповідність законодавчих положень критерію якості дає підстави для визнання їх неконституційними.</w:t>
      </w:r>
    </w:p>
    <w:p w:rsidR="001C75FA" w:rsidRPr="001C75FA" w:rsidRDefault="001C75FA" w:rsidP="001C75FA">
      <w:pPr>
        <w:spacing w:after="120" w:line="264" w:lineRule="auto"/>
        <w:ind w:firstLine="851"/>
        <w:jc w:val="both"/>
        <w:rPr>
          <w:rFonts w:ascii="Times New Roman" w:hAnsi="Times New Roman"/>
          <w:sz w:val="28"/>
          <w:szCs w:val="28"/>
        </w:rPr>
      </w:pPr>
      <w:r w:rsidRPr="001C75FA">
        <w:rPr>
          <w:rFonts w:ascii="Times New Roman" w:hAnsi="Times New Roman"/>
          <w:sz w:val="28"/>
          <w:szCs w:val="28"/>
        </w:rPr>
        <w:t xml:space="preserve">2. Окремі положення законопроекту є нормами індивідуальної дії, оскільки ними передбачається розв’язати конкретні проблеми, що не пов’язані із загальнообов’язковими правилами поведінки. Так, згідно з частиною третьою статті 2 дія </w:t>
      </w:r>
      <w:r w:rsidRPr="001C75FA">
        <w:rPr>
          <w:rFonts w:ascii="Times New Roman" w:hAnsi="Times New Roman"/>
          <w:color w:val="000000"/>
          <w:sz w:val="28"/>
          <w:szCs w:val="28"/>
        </w:rPr>
        <w:t xml:space="preserve">цього Закону не поширюється на </w:t>
      </w:r>
      <w:r w:rsidRPr="001C75FA">
        <w:rPr>
          <w:rFonts w:ascii="Times New Roman" w:hAnsi="Times New Roman"/>
          <w:sz w:val="28"/>
          <w:szCs w:val="28"/>
        </w:rPr>
        <w:t>закупівлі товарів, робіт і послуг оборонного призначення через міжнародні спеціалізовані організації, їх представництва, спеціалізовані фонди, підприємства, установи та організації, а також через програми міжнародних військових продажів, перелік яких визначений Кабінетом Міністрів України.</w:t>
      </w:r>
    </w:p>
    <w:p w:rsidR="001C75FA" w:rsidRPr="001C75FA" w:rsidRDefault="001C75FA" w:rsidP="001C75FA">
      <w:pPr>
        <w:spacing w:after="120" w:line="264" w:lineRule="auto"/>
        <w:ind w:firstLine="851"/>
        <w:jc w:val="both"/>
        <w:rPr>
          <w:rFonts w:ascii="Times New Roman" w:hAnsi="Times New Roman"/>
          <w:sz w:val="28"/>
          <w:szCs w:val="28"/>
        </w:rPr>
      </w:pPr>
      <w:r w:rsidRPr="001C75FA">
        <w:rPr>
          <w:rFonts w:ascii="Times New Roman" w:hAnsi="Times New Roman"/>
          <w:sz w:val="28"/>
          <w:szCs w:val="28"/>
        </w:rPr>
        <w:lastRenderedPageBreak/>
        <w:t>Таким чином, законопроектом створюються привілейовані умови для певних суб’єктів господарювання шляхом звільнення їх від проходження передбачених законопроектом конкурентних процедур, чим, як вбачається, не враховуються вимоги частини четвертої статті 13 Конституції України щодо рівності усіх суб’єктів права власності перед законом.</w:t>
      </w:r>
    </w:p>
    <w:p w:rsidR="001C75FA" w:rsidRPr="001C75FA" w:rsidRDefault="001C75FA" w:rsidP="001C75FA">
      <w:pPr>
        <w:spacing w:after="120" w:line="264" w:lineRule="auto"/>
        <w:ind w:firstLine="851"/>
        <w:jc w:val="both"/>
        <w:rPr>
          <w:rFonts w:ascii="Times New Roman" w:hAnsi="Times New Roman"/>
          <w:sz w:val="28"/>
          <w:szCs w:val="28"/>
        </w:rPr>
      </w:pPr>
      <w:r w:rsidRPr="001C75FA">
        <w:rPr>
          <w:rFonts w:ascii="Times New Roman" w:hAnsi="Times New Roman"/>
          <w:sz w:val="28"/>
          <w:szCs w:val="28"/>
        </w:rPr>
        <w:t>Вважаємо, що у цьому разі логічнішою та більш обґрунтованою була б часткова імплементація положень статей 12 і 13 Директиви 2009/81/ЄС щодо спеціальних виключень та умов для правил щодо контрактів.</w:t>
      </w:r>
    </w:p>
    <w:p w:rsidR="001C75FA" w:rsidRPr="001C75FA" w:rsidRDefault="001C75FA" w:rsidP="001C75FA">
      <w:pPr>
        <w:pStyle w:val="af0"/>
        <w:numPr>
          <w:ilvl w:val="0"/>
          <w:numId w:val="18"/>
        </w:numPr>
        <w:spacing w:after="120" w:line="264" w:lineRule="auto"/>
        <w:ind w:left="0" w:firstLine="851"/>
        <w:contextualSpacing w:val="0"/>
        <w:jc w:val="both"/>
        <w:rPr>
          <w:rFonts w:ascii="Times New Roman" w:hAnsi="Times New Roman"/>
          <w:sz w:val="28"/>
          <w:szCs w:val="28"/>
        </w:rPr>
      </w:pPr>
      <w:r w:rsidRPr="001C75FA">
        <w:rPr>
          <w:rFonts w:ascii="Times New Roman" w:hAnsi="Times New Roman"/>
          <w:sz w:val="28"/>
          <w:szCs w:val="28"/>
        </w:rPr>
        <w:t>У законопроекті відсутні чіткі та зрозумілі межі дискреції органів виконавчої влади, тоді як закон повинен вказувати на обсяг будь-якої дискреції та спосіб її здійснення із достатньою чіткістю, аби особа мала змогу відповідним чином захистити себе від свавільних дій влади (пункт 45 Доповіді "Верховенство права", схваленої Європейською Комісією "За демократію через право" на 86-му пленарному засіданні (Венеція, 25-26 березня 2011 року) (CDL-AD(2011)003rev). Зокрема, це стосується:</w:t>
      </w:r>
    </w:p>
    <w:p w:rsidR="001C75FA" w:rsidRPr="001C75FA" w:rsidRDefault="001C75FA" w:rsidP="001C75FA">
      <w:pPr>
        <w:spacing w:after="120" w:line="264" w:lineRule="auto"/>
        <w:ind w:firstLine="709"/>
        <w:jc w:val="both"/>
        <w:rPr>
          <w:rFonts w:ascii="Times New Roman" w:hAnsi="Times New Roman"/>
          <w:sz w:val="28"/>
          <w:szCs w:val="28"/>
        </w:rPr>
      </w:pPr>
      <w:r w:rsidRPr="001C75FA">
        <w:rPr>
          <w:rFonts w:ascii="Times New Roman" w:hAnsi="Times New Roman"/>
          <w:sz w:val="28"/>
          <w:szCs w:val="28"/>
        </w:rPr>
        <w:t>– делегування Кабінету Міністрів України повноважень з визначення кола державних замовників, на яких поширюється дія цього Закону (пункт 10 частини першої 1 статті 1);</w:t>
      </w:r>
    </w:p>
    <w:p w:rsidR="001C75FA" w:rsidRPr="001C75FA" w:rsidRDefault="001C75FA" w:rsidP="001C75FA">
      <w:pPr>
        <w:pStyle w:val="af0"/>
        <w:numPr>
          <w:ilvl w:val="0"/>
          <w:numId w:val="16"/>
        </w:numPr>
        <w:tabs>
          <w:tab w:val="left" w:pos="1134"/>
        </w:tabs>
        <w:spacing w:after="120" w:line="264" w:lineRule="auto"/>
        <w:ind w:left="0" w:firstLine="709"/>
        <w:contextualSpacing w:val="0"/>
        <w:jc w:val="both"/>
        <w:rPr>
          <w:rFonts w:ascii="Times New Roman" w:hAnsi="Times New Roman"/>
          <w:sz w:val="28"/>
          <w:szCs w:val="28"/>
        </w:rPr>
      </w:pPr>
      <w:r w:rsidRPr="001C75FA">
        <w:rPr>
          <w:rFonts w:ascii="Times New Roman" w:hAnsi="Times New Roman"/>
          <w:color w:val="000000"/>
          <w:sz w:val="28"/>
          <w:szCs w:val="28"/>
        </w:rPr>
        <w:t>частина тринадцята статті 18 проекту, фактично, ставить у залежність від дій Кабінету Міністрів України існування загальних засад процедури закритих закупівель та можливості їх реалізації. Так, до відання Кабінету Міністрів України належить затвердження п</w:t>
      </w:r>
      <w:r w:rsidRPr="001C75FA">
        <w:rPr>
          <w:rFonts w:ascii="Times New Roman" w:hAnsi="Times New Roman"/>
          <w:sz w:val="28"/>
          <w:szCs w:val="28"/>
        </w:rPr>
        <w:t xml:space="preserve">орядку проведення переговорів, порядку укладення державного контракту з єдиним виконавцем у процедурі закупівлі </w:t>
      </w:r>
      <w:r w:rsidRPr="001C75FA">
        <w:rPr>
          <w:rFonts w:ascii="Times New Roman" w:hAnsi="Times New Roman"/>
          <w:color w:val="000000"/>
          <w:sz w:val="28"/>
          <w:szCs w:val="28"/>
        </w:rPr>
        <w:t xml:space="preserve">товарів, робіт і послуг оборонного призначення за закритими </w:t>
      </w:r>
      <w:r w:rsidRPr="001C75FA">
        <w:rPr>
          <w:rFonts w:ascii="Times New Roman" w:hAnsi="Times New Roman"/>
          <w:sz w:val="28"/>
          <w:szCs w:val="28"/>
        </w:rPr>
        <w:t>закупівлями;</w:t>
      </w:r>
    </w:p>
    <w:p w:rsidR="001C75FA" w:rsidRPr="001C75FA" w:rsidRDefault="001C75FA" w:rsidP="001C75FA">
      <w:pPr>
        <w:pStyle w:val="af0"/>
        <w:numPr>
          <w:ilvl w:val="0"/>
          <w:numId w:val="15"/>
        </w:numPr>
        <w:tabs>
          <w:tab w:val="left" w:pos="993"/>
        </w:tabs>
        <w:spacing w:after="120" w:line="264" w:lineRule="auto"/>
        <w:ind w:left="0" w:firstLine="709"/>
        <w:contextualSpacing w:val="0"/>
        <w:jc w:val="both"/>
        <w:rPr>
          <w:rFonts w:ascii="Times New Roman" w:hAnsi="Times New Roman"/>
          <w:sz w:val="28"/>
          <w:szCs w:val="28"/>
        </w:rPr>
      </w:pPr>
      <w:r w:rsidRPr="001C75FA">
        <w:rPr>
          <w:rFonts w:ascii="Times New Roman" w:hAnsi="Times New Roman"/>
          <w:sz w:val="28"/>
          <w:szCs w:val="28"/>
        </w:rPr>
        <w:t>передбачена законопроектом можливість скасування державним замовником спрощеного відбору без застосування електронної системи закупівель у разі допущення ним порушення, що вплинуло на об’єктивність визначення переможця закупівлі (пункт 3 частина п’ята статті 30).</w:t>
      </w:r>
    </w:p>
    <w:p w:rsidR="001C75FA" w:rsidRPr="001C75FA" w:rsidRDefault="001C75FA" w:rsidP="001C75FA">
      <w:pPr>
        <w:pStyle w:val="af0"/>
        <w:spacing w:after="120" w:line="264" w:lineRule="auto"/>
        <w:ind w:left="0" w:firstLine="851"/>
        <w:contextualSpacing w:val="0"/>
        <w:jc w:val="both"/>
        <w:rPr>
          <w:rFonts w:ascii="Times New Roman" w:hAnsi="Times New Roman"/>
          <w:sz w:val="28"/>
          <w:szCs w:val="28"/>
        </w:rPr>
      </w:pPr>
      <w:r w:rsidRPr="001C75FA">
        <w:rPr>
          <w:rFonts w:ascii="Times New Roman" w:hAnsi="Times New Roman"/>
          <w:sz w:val="28"/>
          <w:szCs w:val="28"/>
        </w:rPr>
        <w:t>Отже, визначення дискреційних повноважень у прийнятті рішень для органів виконавчої влади не враховує вимог частини другої статті 19 Конституції України, за якою органи державної влади зобов’язані діяти лише на підставі, в межах повноважень та у спосіб, що передбачені Конституцією та законами України.</w:t>
      </w:r>
    </w:p>
    <w:p w:rsidR="001C75FA" w:rsidRPr="001C75FA" w:rsidRDefault="001C75FA" w:rsidP="001C75FA">
      <w:pPr>
        <w:pStyle w:val="af3"/>
        <w:spacing w:after="120" w:line="264" w:lineRule="auto"/>
        <w:ind w:firstLine="709"/>
        <w:jc w:val="both"/>
        <w:rPr>
          <w:szCs w:val="28"/>
          <w:lang w:val="uk-UA"/>
        </w:rPr>
      </w:pPr>
      <w:r w:rsidRPr="001C75FA">
        <w:rPr>
          <w:szCs w:val="28"/>
          <w:lang w:val="uk-UA"/>
        </w:rPr>
        <w:t>4. Пунктом 2 частини першої статті 4 законопроекту передбачається, що порядок укладення компенсаційних (офсетних) договорів та види компенсацій визначаються Кабінетом Міністрів України, що не враховує вимог частини четвертої статті 382 Господарського кодексу України, за якою з</w:t>
      </w:r>
      <w:r w:rsidRPr="001C75FA">
        <w:rPr>
          <w:rStyle w:val="st42"/>
          <w:szCs w:val="28"/>
          <w:lang w:val="uk-UA"/>
        </w:rPr>
        <w:t xml:space="preserve">аконом може </w:t>
      </w:r>
      <w:r w:rsidRPr="001C75FA">
        <w:rPr>
          <w:rStyle w:val="st42"/>
          <w:szCs w:val="28"/>
          <w:lang w:val="uk-UA"/>
        </w:rPr>
        <w:lastRenderedPageBreak/>
        <w:t xml:space="preserve">бути встановлений особливий порядок укладення, виконання і розірвання окремих видів зовнішньоекономічних договорів (контрактів). Тому основні засади укладення </w:t>
      </w:r>
      <w:r w:rsidRPr="001C75FA">
        <w:rPr>
          <w:szCs w:val="28"/>
          <w:lang w:val="uk-UA"/>
        </w:rPr>
        <w:t>компенсаційних (офсетних) договорів та види компенсацій мали б встановлюватися законом.</w:t>
      </w:r>
    </w:p>
    <w:p w:rsidR="001C75FA" w:rsidRPr="001C75FA" w:rsidRDefault="001C75FA" w:rsidP="001C75FA">
      <w:pPr>
        <w:spacing w:after="120" w:line="264" w:lineRule="auto"/>
        <w:ind w:firstLine="709"/>
        <w:jc w:val="both"/>
        <w:rPr>
          <w:rFonts w:ascii="Times New Roman" w:hAnsi="Times New Roman"/>
          <w:sz w:val="28"/>
          <w:szCs w:val="28"/>
        </w:rPr>
      </w:pPr>
      <w:r w:rsidRPr="001C75FA">
        <w:rPr>
          <w:rFonts w:ascii="Times New Roman" w:hAnsi="Times New Roman"/>
          <w:sz w:val="28"/>
          <w:szCs w:val="28"/>
        </w:rPr>
        <w:t xml:space="preserve">5. Згідно з частиною четвертою статті 2 законопроекту державний замовник у сфері оборонних закупівель не має права ділити предмет закупівлі на частини з метою уникнення застосування норм цього Закону. </w:t>
      </w:r>
    </w:p>
    <w:p w:rsidR="001C75FA" w:rsidRPr="001C75FA" w:rsidRDefault="001C75FA" w:rsidP="001C75FA">
      <w:pPr>
        <w:spacing w:after="120" w:line="264" w:lineRule="auto"/>
        <w:ind w:firstLine="708"/>
        <w:jc w:val="both"/>
        <w:rPr>
          <w:rStyle w:val="FontStyle"/>
          <w:rFonts w:ascii="Times New Roman" w:hAnsi="Times New Roman"/>
          <w:sz w:val="28"/>
          <w:szCs w:val="28"/>
        </w:rPr>
      </w:pPr>
      <w:r w:rsidRPr="001C75FA">
        <w:rPr>
          <w:rFonts w:ascii="Times New Roman" w:hAnsi="Times New Roman"/>
          <w:sz w:val="28"/>
          <w:szCs w:val="28"/>
        </w:rPr>
        <w:t xml:space="preserve">Разом з тим, законопроект не містить засад відповідальності за порушення державним замовником цього припису, що </w:t>
      </w:r>
      <w:r w:rsidRPr="001C75FA">
        <w:rPr>
          <w:rStyle w:val="FontStyle"/>
          <w:rFonts w:ascii="Times New Roman" w:hAnsi="Times New Roman"/>
          <w:sz w:val="28"/>
          <w:szCs w:val="28"/>
        </w:rPr>
        <w:t>свідчить про незавершеність механізму правового регулювання, а також не враховує правової позиції Конституційного Суду України, висловленої у рішенні від 30 травня 2001 року за №7-рп/2001 року (справа про відповідальність юридичних осіб), за яким неповнота законодавчого регулювання суспільних відносин не відповідає конституційному визначенню України як правової держави.</w:t>
      </w:r>
    </w:p>
    <w:p w:rsidR="001C75FA" w:rsidRPr="001C75FA" w:rsidRDefault="001C75FA" w:rsidP="001C75FA">
      <w:pPr>
        <w:spacing w:after="120" w:line="264" w:lineRule="auto"/>
        <w:ind w:firstLine="708"/>
        <w:jc w:val="both"/>
        <w:rPr>
          <w:rFonts w:ascii="Times New Roman" w:hAnsi="Times New Roman"/>
          <w:sz w:val="28"/>
          <w:szCs w:val="28"/>
        </w:rPr>
      </w:pPr>
      <w:r w:rsidRPr="001C75FA">
        <w:rPr>
          <w:rStyle w:val="FontStyle"/>
          <w:rFonts w:ascii="Times New Roman" w:hAnsi="Times New Roman"/>
          <w:sz w:val="28"/>
          <w:szCs w:val="28"/>
        </w:rPr>
        <w:t>Крім того, не завершено механізм правового регулювання у частині четвертій статті 37 законопроекту, за якою в</w:t>
      </w:r>
      <w:r w:rsidRPr="001C75FA">
        <w:rPr>
          <w:rFonts w:ascii="Times New Roman" w:hAnsi="Times New Roman"/>
          <w:sz w:val="28"/>
          <w:szCs w:val="28"/>
        </w:rPr>
        <w:t>ідповідальність за адміністрування та забезпечення функціонування реєстру покладається на центральний орган виконавчої влади, що забезпечує формування та реалізує державну військово-промислову політику (за правомірні дії?), без визначення основних засад такої відповідальності.</w:t>
      </w:r>
    </w:p>
    <w:p w:rsidR="001C75FA" w:rsidRPr="001C75FA" w:rsidRDefault="001C75FA" w:rsidP="001C75FA">
      <w:pPr>
        <w:spacing w:after="120" w:line="264" w:lineRule="auto"/>
        <w:ind w:firstLine="851"/>
        <w:jc w:val="both"/>
        <w:rPr>
          <w:rFonts w:ascii="Times New Roman" w:hAnsi="Times New Roman"/>
          <w:sz w:val="28"/>
          <w:szCs w:val="28"/>
        </w:rPr>
      </w:pPr>
      <w:r w:rsidRPr="001C75FA">
        <w:rPr>
          <w:rFonts w:ascii="Times New Roman" w:hAnsi="Times New Roman"/>
          <w:sz w:val="28"/>
          <w:szCs w:val="28"/>
        </w:rPr>
        <w:t xml:space="preserve">6. Оскільки однією з цілей прийняття законопроекту є </w:t>
      </w:r>
      <w:r w:rsidRPr="001C75FA">
        <w:rPr>
          <w:rFonts w:ascii="Times New Roman" w:hAnsi="Times New Roman"/>
          <w:spacing w:val="-4"/>
          <w:sz w:val="28"/>
          <w:szCs w:val="28"/>
        </w:rPr>
        <w:t>гармонізація законодавства України у сфері оборонних закупівель з положеннями директиви 2009/81/ЄС відповідно до Угоди про асоціацію між Україною та ЄС, зазначаємо, що законопроектом не в повній мірі імплементовано положення цієї</w:t>
      </w:r>
      <w:r w:rsidRPr="001C75FA">
        <w:rPr>
          <w:rFonts w:ascii="Times New Roman" w:hAnsi="Times New Roman"/>
          <w:sz w:val="28"/>
          <w:szCs w:val="28"/>
        </w:rPr>
        <w:t xml:space="preserve"> Директиви. Так, залишились поза увагою законопроекту такі положення:</w:t>
      </w:r>
    </w:p>
    <w:p w:rsidR="001C75FA" w:rsidRPr="001C75FA" w:rsidRDefault="001C75FA" w:rsidP="001C75FA">
      <w:pPr>
        <w:spacing w:after="120" w:line="264" w:lineRule="auto"/>
        <w:ind w:firstLine="851"/>
        <w:jc w:val="both"/>
        <w:rPr>
          <w:rFonts w:ascii="Times New Roman" w:hAnsi="Times New Roman"/>
          <w:sz w:val="28"/>
          <w:szCs w:val="28"/>
        </w:rPr>
      </w:pPr>
      <w:r w:rsidRPr="001C75FA">
        <w:rPr>
          <w:rFonts w:ascii="Times New Roman" w:hAnsi="Times New Roman"/>
          <w:sz w:val="28"/>
          <w:szCs w:val="28"/>
        </w:rPr>
        <w:t>1) відсутнє визначення терміна "пов’язані підприємства", для яких за цією директивою наявні певні обмеження (ст. 1, 50 Директиви), а також поняття "аномально низької пропозиції" та повноваження (права) державного замовника щодо відхилення або сприйняття відповідних пропозицій (ст. 49 Директиви);</w:t>
      </w:r>
    </w:p>
    <w:p w:rsidR="001C75FA" w:rsidRPr="001C75FA" w:rsidRDefault="001C75FA" w:rsidP="001C75FA">
      <w:pPr>
        <w:spacing w:after="120" w:line="264" w:lineRule="auto"/>
        <w:ind w:firstLine="851"/>
        <w:jc w:val="both"/>
        <w:rPr>
          <w:rFonts w:ascii="Times New Roman" w:hAnsi="Times New Roman"/>
          <w:sz w:val="28"/>
          <w:szCs w:val="28"/>
        </w:rPr>
      </w:pPr>
      <w:r w:rsidRPr="001C75FA">
        <w:rPr>
          <w:rFonts w:ascii="Times New Roman" w:hAnsi="Times New Roman"/>
          <w:sz w:val="28"/>
          <w:szCs w:val="28"/>
        </w:rPr>
        <w:t>2) особливості укладення договорів субпідряду на підставі рамкової угоди (ст. 50-54 Директиви), натомість проектом засади регулювання субпідряду регулюються лише частково (ст. 33);</w:t>
      </w:r>
    </w:p>
    <w:p w:rsidR="001C75FA" w:rsidRPr="001C75FA" w:rsidRDefault="001C75FA" w:rsidP="001C75FA">
      <w:pPr>
        <w:spacing w:after="120" w:line="264" w:lineRule="auto"/>
        <w:ind w:firstLine="851"/>
        <w:jc w:val="both"/>
        <w:rPr>
          <w:rFonts w:ascii="Times New Roman" w:hAnsi="Times New Roman"/>
          <w:sz w:val="28"/>
          <w:szCs w:val="28"/>
        </w:rPr>
      </w:pPr>
      <w:r w:rsidRPr="001C75FA">
        <w:rPr>
          <w:rFonts w:ascii="Times New Roman" w:hAnsi="Times New Roman"/>
          <w:sz w:val="28"/>
          <w:szCs w:val="28"/>
        </w:rPr>
        <w:t>3) недостатньо деталізовані вимоги до технічних та/або професійних спроможностей суб’єктів господарювання, чому присвячена доволі значна увага в Директиві (ст. 42).</w:t>
      </w:r>
    </w:p>
    <w:p w:rsidR="001C75FA" w:rsidRPr="001C75FA" w:rsidRDefault="001C75FA" w:rsidP="001C75FA">
      <w:pPr>
        <w:widowControl w:val="0"/>
        <w:spacing w:after="120" w:line="264" w:lineRule="auto"/>
        <w:ind w:firstLine="709"/>
        <w:jc w:val="both"/>
        <w:rPr>
          <w:rFonts w:ascii="Times New Roman" w:hAnsi="Times New Roman"/>
          <w:sz w:val="28"/>
          <w:szCs w:val="28"/>
        </w:rPr>
      </w:pPr>
      <w:r w:rsidRPr="001C75FA">
        <w:rPr>
          <w:rFonts w:ascii="Times New Roman" w:hAnsi="Times New Roman"/>
          <w:sz w:val="28"/>
          <w:szCs w:val="28"/>
        </w:rPr>
        <w:t xml:space="preserve">7. За законопроектом комітет Верховної Ради України, до повноважень якого належить забезпечення національної безпеки, оборони та розвідки, </w:t>
      </w:r>
      <w:r w:rsidRPr="001C75FA">
        <w:rPr>
          <w:rFonts w:ascii="Times New Roman" w:hAnsi="Times New Roman"/>
          <w:sz w:val="28"/>
          <w:szCs w:val="28"/>
        </w:rPr>
        <w:lastRenderedPageBreak/>
        <w:t>погоджує підготовлений центральним органом виконавчої влади, що забезпечує формування та реалізує державну військово-промислову політику, зведений трирічний план закупівель товарів, робіт і послуг оборонного призначення за закритими закупівлями (пункт 1 частини першої статті 5) та підготовлений будь-яким державним замовником трирічний та річний плани закупівель товарів, робіт і послуг оборонного призначення (пункт 2 частини першої статті 7, частина четверта статті 9). Проте, комітети парламенту відповідно до Конституції України та Закону України "Про комітети Верховної Ради України" створюються Верховною Радою України для здійснення законопроектної роботи, підготовки і попереднього розгляду питань, віднесених до її повноважень, виконання контрольних функцій відповідно до Конституції України. Отже, як зазначив Конституційний Суд України, за своїм конституційним статусом комітети є органами, діяльність яких пов'язана з вирішенням питань, віднесених до повноважень Верховної Ради України (абзац перший підпункту 4.2 пункту 4 мотивувальної частини Рішення від 5 березня 2003 року № 5-рп/2003, абзац шостий підпункту 3.1 пункту 3 мотивувальної частини Рішення від 10 червня 2010 року № 16-рп/2010). Разом із цим, як зазначив Конституційний Суд України:</w:t>
      </w:r>
    </w:p>
    <w:p w:rsidR="001C75FA" w:rsidRPr="001C75FA" w:rsidRDefault="001C75FA" w:rsidP="001C75FA">
      <w:pPr>
        <w:widowControl w:val="0"/>
        <w:spacing w:after="120" w:line="264" w:lineRule="auto"/>
        <w:ind w:firstLine="709"/>
        <w:jc w:val="both"/>
        <w:rPr>
          <w:rFonts w:ascii="Times New Roman" w:hAnsi="Times New Roman"/>
          <w:sz w:val="28"/>
          <w:szCs w:val="28"/>
        </w:rPr>
      </w:pPr>
      <w:r w:rsidRPr="001C75FA">
        <w:rPr>
          <w:rFonts w:ascii="Times New Roman" w:hAnsi="Times New Roman"/>
          <w:sz w:val="28"/>
          <w:szCs w:val="28"/>
        </w:rPr>
        <w:t xml:space="preserve">1) Основний Закон України не наділяє комітети самостійними контрольними повноваженнями, вони можуть лише сприяти Верховній Раді України у здійсненні повноважень щодо парламентського контролю, виконуючі певні дії допоміжного (інформаційного, експертного, аналітичного тощо) характеру (перше речення абзацу восьмого підпункту 3.1 пункту 3 мотивувальної частини Рішення від 10 червня 2010 року № 16-рп/2010); </w:t>
      </w:r>
    </w:p>
    <w:p w:rsidR="001C75FA" w:rsidRPr="001C75FA" w:rsidRDefault="001C75FA" w:rsidP="001C75FA">
      <w:pPr>
        <w:widowControl w:val="0"/>
        <w:spacing w:after="120" w:line="264" w:lineRule="auto"/>
        <w:ind w:firstLine="709"/>
        <w:jc w:val="both"/>
        <w:rPr>
          <w:rFonts w:ascii="Times New Roman" w:hAnsi="Times New Roman"/>
          <w:sz w:val="28"/>
          <w:szCs w:val="28"/>
        </w:rPr>
      </w:pPr>
      <w:r w:rsidRPr="001C75FA">
        <w:rPr>
          <w:rFonts w:ascii="Times New Roman" w:hAnsi="Times New Roman"/>
          <w:sz w:val="28"/>
          <w:szCs w:val="28"/>
        </w:rPr>
        <w:t xml:space="preserve">2) комітети не є самостійними суб'єктами парламентського контролю, вони беруть участь у його здійсненні лише на стадії підготовки та попереднього розгляду питань, віднесених до сфери парламентського контролю Верховної Ради України (абзац сьомий пункту 8 мотивувальної частини Висновку Конституційного Суду України від 14 березня 2001 року </w:t>
      </w:r>
      <w:r w:rsidR="00A909D2">
        <w:rPr>
          <w:rFonts w:ascii="Times New Roman" w:hAnsi="Times New Roman"/>
          <w:sz w:val="28"/>
          <w:szCs w:val="28"/>
        </w:rPr>
        <w:t xml:space="preserve">              </w:t>
      </w:r>
      <w:r w:rsidRPr="001C75FA">
        <w:rPr>
          <w:rFonts w:ascii="Times New Roman" w:hAnsi="Times New Roman"/>
          <w:sz w:val="28"/>
          <w:szCs w:val="28"/>
        </w:rPr>
        <w:t>№ 1-в/2001).</w:t>
      </w:r>
    </w:p>
    <w:p w:rsidR="001C75FA" w:rsidRDefault="001C75FA" w:rsidP="001C75FA">
      <w:pPr>
        <w:spacing w:after="120" w:line="264" w:lineRule="auto"/>
        <w:ind w:firstLine="709"/>
        <w:jc w:val="both"/>
        <w:rPr>
          <w:rFonts w:ascii="Times New Roman" w:hAnsi="Times New Roman"/>
          <w:sz w:val="28"/>
          <w:szCs w:val="28"/>
        </w:rPr>
      </w:pPr>
      <w:r w:rsidRPr="001C75FA">
        <w:rPr>
          <w:rFonts w:ascii="Times New Roman" w:hAnsi="Times New Roman"/>
          <w:sz w:val="28"/>
          <w:szCs w:val="28"/>
        </w:rPr>
        <w:t>Тому, з огляду на особливості конституційно-правового статусу будь-який комітет Верховної Ради України не може бути уповноважений погоджувати плани закупівель товарів, робіт і послуг оборонного призначення.</w:t>
      </w:r>
    </w:p>
    <w:p w:rsidR="00AE072F" w:rsidRPr="001C75FA" w:rsidRDefault="00AE072F" w:rsidP="001C75FA">
      <w:pPr>
        <w:spacing w:after="120" w:line="264" w:lineRule="auto"/>
        <w:ind w:firstLine="709"/>
        <w:jc w:val="both"/>
        <w:rPr>
          <w:rFonts w:ascii="Times New Roman" w:hAnsi="Times New Roman"/>
          <w:sz w:val="28"/>
          <w:szCs w:val="28"/>
        </w:rPr>
      </w:pPr>
      <w:r>
        <w:rPr>
          <w:rFonts w:ascii="Times New Roman" w:hAnsi="Times New Roman"/>
          <w:sz w:val="28"/>
          <w:szCs w:val="28"/>
        </w:rPr>
        <w:t xml:space="preserve">У зв’язку з цим положення законопроекту щодо погодження </w:t>
      </w:r>
      <w:r w:rsidRPr="001C75FA">
        <w:rPr>
          <w:rFonts w:ascii="Times New Roman" w:hAnsi="Times New Roman"/>
          <w:sz w:val="28"/>
          <w:szCs w:val="28"/>
        </w:rPr>
        <w:t>план</w:t>
      </w:r>
      <w:r>
        <w:rPr>
          <w:rFonts w:ascii="Times New Roman" w:hAnsi="Times New Roman"/>
          <w:sz w:val="28"/>
          <w:szCs w:val="28"/>
        </w:rPr>
        <w:t>ів</w:t>
      </w:r>
      <w:r w:rsidRPr="001C75FA">
        <w:rPr>
          <w:rFonts w:ascii="Times New Roman" w:hAnsi="Times New Roman"/>
          <w:sz w:val="28"/>
          <w:szCs w:val="28"/>
        </w:rPr>
        <w:t xml:space="preserve"> закупівель товарів, робіт і послуг оборонного призначення </w:t>
      </w:r>
      <w:r w:rsidR="00A909D2" w:rsidRPr="001C75FA">
        <w:rPr>
          <w:rFonts w:ascii="Times New Roman" w:hAnsi="Times New Roman"/>
          <w:sz w:val="28"/>
          <w:szCs w:val="28"/>
        </w:rPr>
        <w:t>комітет</w:t>
      </w:r>
      <w:r w:rsidR="00A909D2">
        <w:rPr>
          <w:rFonts w:ascii="Times New Roman" w:hAnsi="Times New Roman"/>
          <w:sz w:val="28"/>
          <w:szCs w:val="28"/>
        </w:rPr>
        <w:t>ом</w:t>
      </w:r>
      <w:r w:rsidR="00A909D2" w:rsidRPr="001C75FA">
        <w:rPr>
          <w:rFonts w:ascii="Times New Roman" w:hAnsi="Times New Roman"/>
          <w:sz w:val="28"/>
          <w:szCs w:val="28"/>
        </w:rPr>
        <w:t xml:space="preserve"> Верховної Ради України, до повноважень якого належить забезпечення національної безпеки, оборони та розвідки, </w:t>
      </w:r>
      <w:r>
        <w:rPr>
          <w:rFonts w:ascii="Times New Roman" w:hAnsi="Times New Roman"/>
          <w:sz w:val="28"/>
          <w:szCs w:val="28"/>
        </w:rPr>
        <w:t>слід виключити з тексту законопроекту.</w:t>
      </w:r>
    </w:p>
    <w:p w:rsidR="001C75FA" w:rsidRPr="001C75FA" w:rsidRDefault="001C75FA" w:rsidP="001C75FA">
      <w:pPr>
        <w:pStyle w:val="af3"/>
        <w:spacing w:after="120" w:line="264" w:lineRule="auto"/>
        <w:ind w:firstLine="708"/>
        <w:jc w:val="both"/>
        <w:rPr>
          <w:szCs w:val="28"/>
          <w:lang w:val="uk-UA"/>
        </w:rPr>
      </w:pPr>
      <w:r w:rsidRPr="001C75FA">
        <w:rPr>
          <w:szCs w:val="28"/>
          <w:lang w:val="uk-UA"/>
        </w:rPr>
        <w:lastRenderedPageBreak/>
        <w:t>8. Згідно з положеннями законопроекту центральний орган виконавчої влади, що забезпечує формування та реалізує державну військово-промислову політику, координує діяльність державних замовників із планування та здійснення оборонних закупівель (пункт 3 частини першої статті 5). При цьому під державними замовниками у сфері оборони, в контексті законопроекту, розуміються визначені Кабінетом Міністрів України центральні органи виконавчої влади, інші державні органи, військові формування, утворені відповідно до законів України (пункт 10 частини першої статті 1, абзац другий пункту 2 частини першої статті 4).</w:t>
      </w:r>
    </w:p>
    <w:p w:rsidR="001C75FA" w:rsidRPr="001C75FA" w:rsidRDefault="001C75FA" w:rsidP="001C75FA">
      <w:pPr>
        <w:pStyle w:val="af3"/>
        <w:spacing w:after="120" w:line="264" w:lineRule="auto"/>
        <w:ind w:firstLine="708"/>
        <w:jc w:val="both"/>
        <w:rPr>
          <w:szCs w:val="28"/>
          <w:lang w:val="uk-UA"/>
        </w:rPr>
      </w:pPr>
      <w:r w:rsidRPr="001C75FA">
        <w:rPr>
          <w:szCs w:val="28"/>
          <w:lang w:val="uk-UA"/>
        </w:rPr>
        <w:t>Як відомо, Конституція України прямо встановлює суб’єкта контролю та координації діяльності органів виконавчої влади у сфері національної безпеки і оборони. Так, згідно з частиною другою статті 107 Основного Закону України Рада національної безпеки і оборони України координує і контролює діяльність органів виконавчої влади у сфері національної безпеки і оборони.</w:t>
      </w:r>
    </w:p>
    <w:p w:rsidR="001C75FA" w:rsidRPr="001C75FA" w:rsidRDefault="001C75FA" w:rsidP="001C75FA">
      <w:pPr>
        <w:pStyle w:val="af3"/>
        <w:spacing w:after="120" w:line="264" w:lineRule="auto"/>
        <w:ind w:firstLine="708"/>
        <w:jc w:val="both"/>
        <w:rPr>
          <w:szCs w:val="28"/>
          <w:lang w:val="uk-UA"/>
        </w:rPr>
      </w:pPr>
      <w:r w:rsidRPr="001C75FA">
        <w:rPr>
          <w:szCs w:val="28"/>
          <w:lang w:val="uk-UA"/>
        </w:rPr>
        <w:t xml:space="preserve">Отже, обраний законопроектом нормотворчий підхід не враховує вимог частин першої-другої статті 107, а також пункту 9 статті 116 Конституції України, за яким повноваження зі спрямування і координації роботи міністерств, інших органів виконавчої влади належать до відання Кабінету Міністрів України. У цьому зв’язку слід </w:t>
      </w:r>
      <w:r w:rsidR="003A280F">
        <w:rPr>
          <w:szCs w:val="28"/>
          <w:lang w:val="uk-UA"/>
        </w:rPr>
        <w:t>зважати на</w:t>
      </w:r>
      <w:r w:rsidRPr="001C75FA">
        <w:rPr>
          <w:szCs w:val="28"/>
          <w:lang w:val="uk-UA"/>
        </w:rPr>
        <w:t xml:space="preserve"> правову позицію Конституційного Суду України, викладену в абзаці другому підпункту 2.1 пункту 2 </w:t>
      </w:r>
      <w:r w:rsidRPr="001C75FA">
        <w:rPr>
          <w:rStyle w:val="st42"/>
          <w:rFonts w:eastAsiaTheme="minorHAnsi"/>
          <w:szCs w:val="28"/>
          <w:lang w:val="uk-UA"/>
        </w:rPr>
        <w:t xml:space="preserve">мотивувальної частини Рішення Конституційного Суду України від 8 вересня 2016 року № 6-рп/2016, за якою </w:t>
      </w:r>
      <w:r w:rsidRPr="001C75FA">
        <w:rPr>
          <w:szCs w:val="28"/>
        </w:rPr>
        <w:t>"</w:t>
      </w:r>
      <w:r w:rsidRPr="001C75FA">
        <w:rPr>
          <w:rStyle w:val="st42"/>
          <w:rFonts w:eastAsiaTheme="minorHAnsi"/>
          <w:szCs w:val="28"/>
          <w:lang w:val="uk-UA"/>
        </w:rPr>
        <w:t>законами України та іншими нормативно-правовими актами можна лише розвивати конституційні норми, а не змінювати їх зміст</w:t>
      </w:r>
      <w:r w:rsidRPr="001C75FA">
        <w:rPr>
          <w:szCs w:val="28"/>
        </w:rPr>
        <w:t>"</w:t>
      </w:r>
      <w:r w:rsidRPr="001C75FA">
        <w:rPr>
          <w:rStyle w:val="st42"/>
          <w:rFonts w:eastAsiaTheme="minorHAnsi"/>
          <w:szCs w:val="28"/>
          <w:lang w:val="uk-UA"/>
        </w:rPr>
        <w:t>.</w:t>
      </w:r>
    </w:p>
    <w:p w:rsidR="001C75FA" w:rsidRPr="001C75FA" w:rsidRDefault="001C75FA" w:rsidP="001C75FA">
      <w:pPr>
        <w:pStyle w:val="af3"/>
        <w:spacing w:after="120" w:line="264" w:lineRule="auto"/>
        <w:ind w:firstLine="708"/>
        <w:jc w:val="both"/>
        <w:rPr>
          <w:rStyle w:val="st42"/>
          <w:szCs w:val="28"/>
          <w:lang w:val="uk-UA"/>
        </w:rPr>
      </w:pPr>
      <w:r w:rsidRPr="001C75FA">
        <w:rPr>
          <w:szCs w:val="28"/>
          <w:lang w:val="uk-UA"/>
        </w:rPr>
        <w:t xml:space="preserve">9. Частиною першою статті 15 законопроекту передбачається, що порядок здійснення контролю за якістю товарів, робіт і послуг оборонного призначення на всіх етапах їх розроблення, виробництва, модернізації, </w:t>
      </w:r>
      <w:r w:rsidRPr="001C75FA">
        <w:rPr>
          <w:bCs/>
          <w:szCs w:val="28"/>
          <w:lang w:val="uk-UA"/>
        </w:rPr>
        <w:t>ремонту та утилізації, а також за цільовим використанням коштів та порядок перевірки і узгодження документів щодо формування очікуваної вартості закупівлі у єдиного</w:t>
      </w:r>
      <w:r w:rsidRPr="001C75FA">
        <w:rPr>
          <w:szCs w:val="28"/>
          <w:lang w:val="uk-UA"/>
        </w:rPr>
        <w:t xml:space="preserve"> виконавця державного контракту (договору) визначаються Кабінетом Міністрів України. Такий підхід не враховує вимог статті 19 Конституції України, а також частини четвертої статті 19 Господарського кодексу України, за якою "о</w:t>
      </w:r>
      <w:r w:rsidRPr="001C75FA">
        <w:rPr>
          <w:rStyle w:val="st42"/>
          <w:szCs w:val="28"/>
          <w:lang w:val="uk-UA"/>
        </w:rPr>
        <w:t>ргани державної влади і посадові особи, уповноважені здійснювати державний контроль і державний нагляд за господарською діяльністю, їх статус та загальні умови і порядок здійснення контролю і нагляду визначаються законами</w:t>
      </w:r>
      <w:r w:rsidRPr="001C75FA">
        <w:rPr>
          <w:szCs w:val="28"/>
          <w:lang w:val="uk-UA"/>
        </w:rPr>
        <w:t>"</w:t>
      </w:r>
      <w:r w:rsidRPr="001C75FA">
        <w:rPr>
          <w:rStyle w:val="st42"/>
          <w:szCs w:val="28"/>
          <w:lang w:val="uk-UA"/>
        </w:rPr>
        <w:t xml:space="preserve">. Тому зазначений </w:t>
      </w:r>
      <w:r w:rsidRPr="001C75FA">
        <w:rPr>
          <w:szCs w:val="28"/>
          <w:lang w:val="uk-UA"/>
        </w:rPr>
        <w:t>порядок здійснення контролю мав би встановлюватися цим або іншим законом.</w:t>
      </w:r>
    </w:p>
    <w:p w:rsidR="001C75FA" w:rsidRPr="001C75FA" w:rsidRDefault="001C75FA" w:rsidP="001C75FA">
      <w:pPr>
        <w:spacing w:after="120" w:line="264" w:lineRule="auto"/>
        <w:ind w:firstLine="708"/>
        <w:jc w:val="both"/>
        <w:rPr>
          <w:rFonts w:ascii="Times New Roman" w:hAnsi="Times New Roman"/>
          <w:color w:val="000000"/>
          <w:sz w:val="28"/>
          <w:szCs w:val="28"/>
        </w:rPr>
      </w:pPr>
      <w:r w:rsidRPr="001C75FA">
        <w:rPr>
          <w:rFonts w:ascii="Times New Roman" w:hAnsi="Times New Roman"/>
          <w:color w:val="000000"/>
          <w:sz w:val="28"/>
          <w:szCs w:val="28"/>
        </w:rPr>
        <w:t xml:space="preserve">10. У статті 19 законопроекту йдеться про державне регулювання очікуваної вартості товарів, робіт і послуг оборонного призначення за </w:t>
      </w:r>
      <w:r w:rsidRPr="001C75FA">
        <w:rPr>
          <w:rFonts w:ascii="Times New Roman" w:hAnsi="Times New Roman"/>
          <w:color w:val="000000"/>
          <w:sz w:val="28"/>
          <w:szCs w:val="28"/>
        </w:rPr>
        <w:lastRenderedPageBreak/>
        <w:t>оборонними закупівлями під час застосування неконкурентної процедури закупівлі (</w:t>
      </w:r>
      <w:r w:rsidRPr="001C75FA">
        <w:rPr>
          <w:rFonts w:ascii="Times New Roman" w:hAnsi="Times New Roman"/>
          <w:sz w:val="28"/>
          <w:szCs w:val="28"/>
          <w:highlight w:val="white"/>
        </w:rPr>
        <w:t>процедури, що має винятковий характер через специфіку та/або умови предмета закупівлі, що не дають змоги провести будь-яку іншу конкурентну закупівлю</w:t>
      </w:r>
      <w:r w:rsidRPr="001C75FA">
        <w:rPr>
          <w:rFonts w:ascii="Times New Roman" w:hAnsi="Times New Roman"/>
          <w:sz w:val="28"/>
          <w:szCs w:val="28"/>
        </w:rPr>
        <w:t xml:space="preserve"> (пункт 20 частини першої статті </w:t>
      </w:r>
      <w:r w:rsidRPr="001C75FA">
        <w:rPr>
          <w:rFonts w:ascii="Times New Roman" w:hAnsi="Times New Roman"/>
          <w:color w:val="000000"/>
          <w:sz w:val="28"/>
          <w:szCs w:val="28"/>
        </w:rPr>
        <w:t>1). Проте законопроектом відповідна процедура закупівлі не лише не визначається як вид закупівель, що передбачені частиною першою статті 16 законопроекту, а й не містить порядку її проведення,</w:t>
      </w:r>
      <w:r w:rsidRPr="001C75FA">
        <w:rPr>
          <w:rFonts w:ascii="Times New Roman" w:hAnsi="Times New Roman"/>
          <w:sz w:val="28"/>
          <w:szCs w:val="28"/>
        </w:rPr>
        <w:t xml:space="preserve"> що </w:t>
      </w:r>
      <w:r w:rsidRPr="001C75FA">
        <w:rPr>
          <w:rStyle w:val="FontStyle"/>
          <w:rFonts w:ascii="Times New Roman" w:hAnsi="Times New Roman"/>
          <w:sz w:val="28"/>
          <w:szCs w:val="28"/>
        </w:rPr>
        <w:t>свідчить про незавершеність механізму правового регулювання</w:t>
      </w:r>
      <w:r w:rsidRPr="001C75FA">
        <w:rPr>
          <w:rFonts w:ascii="Times New Roman" w:hAnsi="Times New Roman"/>
          <w:color w:val="000000"/>
          <w:sz w:val="28"/>
          <w:szCs w:val="28"/>
        </w:rPr>
        <w:t>.</w:t>
      </w:r>
    </w:p>
    <w:p w:rsidR="001C75FA" w:rsidRPr="001C75FA" w:rsidRDefault="001C75FA" w:rsidP="001C75FA">
      <w:pPr>
        <w:spacing w:after="120" w:line="264" w:lineRule="auto"/>
        <w:ind w:firstLine="708"/>
        <w:jc w:val="both"/>
        <w:rPr>
          <w:rFonts w:ascii="Times New Roman" w:hAnsi="Times New Roman"/>
          <w:color w:val="000000"/>
          <w:sz w:val="28"/>
          <w:szCs w:val="28"/>
        </w:rPr>
      </w:pPr>
      <w:r w:rsidRPr="001C75FA">
        <w:rPr>
          <w:rFonts w:ascii="Times New Roman" w:hAnsi="Times New Roman"/>
          <w:color w:val="000000"/>
          <w:sz w:val="28"/>
          <w:szCs w:val="28"/>
        </w:rPr>
        <w:t>Разом з тим, за законопроектом до відання Уряду України цією ж статтею проекту віднесені повноваження з визначення порядку формування та коригування очікуваної вартості товарів, робіт і послуг оборонного призначення, закупівля яких здійснюється за неконкурентною процедурою (частина третя статті 19), а також затвердження граничного рівня прибутку у складі очікуваної вартості при укладенні контракту (договору) з оборонних закупівель під час застосування неконкурентної процедури (частина п’ята статті 19).</w:t>
      </w:r>
    </w:p>
    <w:p w:rsidR="001C75FA" w:rsidRPr="001C75FA" w:rsidRDefault="001C75FA" w:rsidP="001C75FA">
      <w:pPr>
        <w:spacing w:after="120" w:line="264" w:lineRule="auto"/>
        <w:ind w:firstLine="708"/>
        <w:jc w:val="both"/>
        <w:rPr>
          <w:rStyle w:val="st42"/>
          <w:sz w:val="28"/>
          <w:szCs w:val="28"/>
        </w:rPr>
      </w:pPr>
      <w:r w:rsidRPr="001C75FA">
        <w:rPr>
          <w:rFonts w:ascii="Times New Roman" w:hAnsi="Times New Roman"/>
          <w:color w:val="000000"/>
          <w:sz w:val="28"/>
          <w:szCs w:val="28"/>
        </w:rPr>
        <w:t xml:space="preserve">Натомість, відповідно до статті 13 Закону України </w:t>
      </w:r>
      <w:r w:rsidRPr="001C75FA">
        <w:rPr>
          <w:rFonts w:ascii="Times New Roman" w:hAnsi="Times New Roman"/>
          <w:sz w:val="28"/>
          <w:szCs w:val="28"/>
        </w:rPr>
        <w:t>"</w:t>
      </w:r>
      <w:r w:rsidRPr="001C75FA">
        <w:rPr>
          <w:rFonts w:ascii="Times New Roman" w:hAnsi="Times New Roman"/>
          <w:color w:val="000000"/>
          <w:sz w:val="28"/>
          <w:szCs w:val="28"/>
        </w:rPr>
        <w:t>Про ціни і ціноутворення</w:t>
      </w:r>
      <w:r w:rsidRPr="001C75FA">
        <w:rPr>
          <w:rFonts w:ascii="Times New Roman" w:hAnsi="Times New Roman"/>
          <w:sz w:val="28"/>
          <w:szCs w:val="28"/>
        </w:rPr>
        <w:t>"</w:t>
      </w:r>
      <w:r w:rsidRPr="001C75FA">
        <w:rPr>
          <w:rFonts w:ascii="Times New Roman" w:hAnsi="Times New Roman"/>
          <w:color w:val="000000"/>
          <w:sz w:val="28"/>
          <w:szCs w:val="28"/>
        </w:rPr>
        <w:t xml:space="preserve"> д</w:t>
      </w:r>
      <w:r w:rsidRPr="001C75FA">
        <w:rPr>
          <w:rStyle w:val="st42"/>
          <w:sz w:val="28"/>
          <w:szCs w:val="28"/>
        </w:rPr>
        <w:t xml:space="preserve">ержавне регулювання цін здійснюється Кабінетом Міністрів України, органами виконавчої влади, державними колегіальними органами та органами місцевого самоврядування відповідно до їх повноважень шляхом: </w:t>
      </w:r>
      <w:r w:rsidR="0000085E">
        <w:rPr>
          <w:rStyle w:val="st42"/>
          <w:sz w:val="28"/>
          <w:szCs w:val="28"/>
        </w:rPr>
        <w:t xml:space="preserve">             </w:t>
      </w:r>
      <w:r w:rsidRPr="001C75FA">
        <w:rPr>
          <w:rStyle w:val="st42"/>
          <w:sz w:val="28"/>
          <w:szCs w:val="28"/>
        </w:rPr>
        <w:t>1) установлення обов’язкових для застосування суб’єктами господарювання: фіксованих цін; граничних цін; граничних рівнів торговельної надбавки (націнки) та постачальницько-збутової надбавки (постачальницької винагороди); граничних нормативів рентабельності; розміру постачальницької винагороди; розміру доплат, знижок (знижувальних коефіцієнтів); 2) запровадження процедури декларування зміни ціни та/або реєстрації ціни.</w:t>
      </w:r>
    </w:p>
    <w:p w:rsidR="001C75FA" w:rsidRPr="001C75FA" w:rsidRDefault="001C75FA" w:rsidP="001C75FA">
      <w:pPr>
        <w:pStyle w:val="af3"/>
        <w:spacing w:after="120" w:line="264" w:lineRule="auto"/>
        <w:ind w:firstLine="708"/>
        <w:jc w:val="both"/>
        <w:rPr>
          <w:rStyle w:val="st42"/>
          <w:szCs w:val="28"/>
          <w:lang w:val="uk-UA"/>
        </w:rPr>
      </w:pPr>
      <w:r w:rsidRPr="001C75FA">
        <w:rPr>
          <w:rStyle w:val="st42"/>
          <w:szCs w:val="28"/>
          <w:lang w:val="uk-UA"/>
        </w:rPr>
        <w:t xml:space="preserve">Тому порядок державного (адміністративного) регулювання цін на </w:t>
      </w:r>
      <w:r w:rsidRPr="001C75FA">
        <w:rPr>
          <w:color w:val="000000"/>
          <w:szCs w:val="28"/>
          <w:lang w:val="uk-UA"/>
        </w:rPr>
        <w:t>товари, роботи і послуги оборонного призначення за оборонними закупівлями під час застосування неконкурентної процедури закупівлі не відповідає способам д</w:t>
      </w:r>
      <w:r w:rsidRPr="001C75FA">
        <w:rPr>
          <w:rStyle w:val="st42"/>
          <w:szCs w:val="28"/>
          <w:lang w:val="uk-UA"/>
        </w:rPr>
        <w:t xml:space="preserve">ержавного регулювання цін, передбаченим статтею </w:t>
      </w:r>
      <w:r w:rsidRPr="001C75FA">
        <w:rPr>
          <w:color w:val="000000"/>
          <w:szCs w:val="28"/>
          <w:lang w:val="uk-UA"/>
        </w:rPr>
        <w:t xml:space="preserve">13 Закону України </w:t>
      </w:r>
      <w:r w:rsidRPr="001C75FA">
        <w:rPr>
          <w:szCs w:val="28"/>
          <w:lang w:val="uk-UA"/>
        </w:rPr>
        <w:t>"</w:t>
      </w:r>
      <w:r w:rsidRPr="001C75FA">
        <w:rPr>
          <w:color w:val="000000"/>
          <w:szCs w:val="28"/>
          <w:lang w:val="uk-UA"/>
        </w:rPr>
        <w:t>Про ціни і ціноутворення</w:t>
      </w:r>
      <w:r w:rsidRPr="001C75FA">
        <w:rPr>
          <w:szCs w:val="28"/>
          <w:lang w:val="uk-UA"/>
        </w:rPr>
        <w:t>"</w:t>
      </w:r>
      <w:r w:rsidRPr="001C75FA">
        <w:rPr>
          <w:color w:val="000000"/>
          <w:szCs w:val="28"/>
          <w:lang w:val="uk-UA"/>
        </w:rPr>
        <w:t>. Крім того, слід зазначити, що в</w:t>
      </w:r>
      <w:r w:rsidRPr="001C75FA">
        <w:rPr>
          <w:rStyle w:val="st42"/>
          <w:szCs w:val="28"/>
          <w:lang w:val="uk-UA"/>
        </w:rPr>
        <w:t xml:space="preserve">становлення Кабінетом Міністрів України державних регульованих цін на товари в розмірі, нижчому від економічно обґрунтованого розміру, без визначення джерел для відшкодування різниці між такими розмірами за рахунок коштів відповідних бюджетів не допускається і може бути оскаржено в судовому порядку (частина друга статті 15 Закону України </w:t>
      </w:r>
      <w:r w:rsidRPr="001C75FA">
        <w:rPr>
          <w:szCs w:val="28"/>
          <w:lang w:val="uk-UA"/>
        </w:rPr>
        <w:t>"</w:t>
      </w:r>
      <w:r w:rsidRPr="001C75FA">
        <w:rPr>
          <w:rStyle w:val="st42"/>
          <w:szCs w:val="28"/>
          <w:lang w:val="uk-UA"/>
        </w:rPr>
        <w:t>Про ціни і ціноутворення</w:t>
      </w:r>
      <w:r w:rsidRPr="001C75FA">
        <w:rPr>
          <w:szCs w:val="28"/>
          <w:lang w:val="uk-UA"/>
        </w:rPr>
        <w:t>"</w:t>
      </w:r>
      <w:r w:rsidRPr="001C75FA">
        <w:rPr>
          <w:rStyle w:val="st42"/>
          <w:szCs w:val="28"/>
          <w:lang w:val="uk-UA"/>
        </w:rPr>
        <w:t>).</w:t>
      </w:r>
    </w:p>
    <w:p w:rsidR="001C75FA" w:rsidRPr="001C75FA" w:rsidRDefault="001C75FA" w:rsidP="001C75FA">
      <w:pPr>
        <w:spacing w:after="120" w:line="264" w:lineRule="auto"/>
        <w:ind w:firstLine="851"/>
        <w:jc w:val="both"/>
        <w:rPr>
          <w:rFonts w:ascii="Times New Roman" w:hAnsi="Times New Roman"/>
          <w:sz w:val="28"/>
          <w:szCs w:val="28"/>
        </w:rPr>
      </w:pPr>
      <w:r w:rsidRPr="001C75FA">
        <w:rPr>
          <w:rFonts w:ascii="Times New Roman" w:hAnsi="Times New Roman"/>
          <w:sz w:val="28"/>
          <w:szCs w:val="28"/>
        </w:rPr>
        <w:lastRenderedPageBreak/>
        <w:t>11. Частиною п’ятою статті 19 законопроекту передбачається, що порушення зобов’язань виконавця згідно з планом розвитку виробництва тягне за собою відповідальність, передбачену контрактом (договором) та чинним законодавством. Як вбачається, зазначеними положеннями законопроекту не враховуються вимоги пункту 22 частини першої статті 92 Конституції України, за якими засади юридичної відповідальності визначаються виключно законом.</w:t>
      </w:r>
    </w:p>
    <w:p w:rsidR="001C75FA" w:rsidRPr="001C75FA" w:rsidRDefault="001C75FA" w:rsidP="001C75FA">
      <w:pPr>
        <w:pStyle w:val="af3"/>
        <w:spacing w:after="120" w:line="264" w:lineRule="auto"/>
        <w:ind w:firstLine="708"/>
        <w:jc w:val="both"/>
        <w:rPr>
          <w:szCs w:val="28"/>
          <w:lang w:val="uk-UA"/>
        </w:rPr>
      </w:pPr>
      <w:r w:rsidRPr="001C75FA">
        <w:rPr>
          <w:rStyle w:val="st42"/>
          <w:szCs w:val="28"/>
          <w:lang w:val="uk-UA"/>
        </w:rPr>
        <w:t xml:space="preserve">12. Частиною четвертою статті 28 </w:t>
      </w:r>
      <w:r w:rsidRPr="001C75FA">
        <w:rPr>
          <w:szCs w:val="28"/>
          <w:lang w:val="uk-UA"/>
        </w:rPr>
        <w:t>законопроекту передбачається навести приклади укладення договорів про закупівлю після завершення електронного аукціону. Разом з тим, слід зазначити, що законом регулюються найважливіші суспільні відносини шляхом встановлення загальнообов’язкових правил. Тому наведення прикладів могло б мати місце у коментарі до зазначеної статті.</w:t>
      </w:r>
    </w:p>
    <w:p w:rsidR="001C75FA" w:rsidRPr="001C75FA" w:rsidRDefault="001C75FA" w:rsidP="001C75FA">
      <w:pPr>
        <w:spacing w:after="120" w:line="264" w:lineRule="auto"/>
        <w:ind w:firstLine="709"/>
        <w:jc w:val="both"/>
        <w:rPr>
          <w:rFonts w:ascii="Times New Roman" w:hAnsi="Times New Roman"/>
          <w:sz w:val="28"/>
          <w:szCs w:val="28"/>
        </w:rPr>
      </w:pPr>
      <w:r w:rsidRPr="001C75FA">
        <w:rPr>
          <w:rFonts w:ascii="Times New Roman" w:hAnsi="Times New Roman"/>
          <w:sz w:val="28"/>
          <w:szCs w:val="28"/>
        </w:rPr>
        <w:t xml:space="preserve">13. Положеннями законопроекту щодо внесення змін до пункту 15 частини першої статті 17, статей 18, 25 Закону України </w:t>
      </w:r>
      <w:r w:rsidRPr="001C75FA">
        <w:rPr>
          <w:rStyle w:val="st42"/>
          <w:sz w:val="28"/>
          <w:szCs w:val="28"/>
        </w:rPr>
        <w:t>"</w:t>
      </w:r>
      <w:r w:rsidRPr="001C75FA">
        <w:rPr>
          <w:rFonts w:ascii="Times New Roman" w:hAnsi="Times New Roman"/>
          <w:sz w:val="28"/>
          <w:szCs w:val="28"/>
        </w:rPr>
        <w:t>Про Національне антикорупційне бюро України</w:t>
      </w:r>
      <w:r w:rsidRPr="001C75FA">
        <w:rPr>
          <w:rStyle w:val="st42"/>
          <w:sz w:val="28"/>
          <w:szCs w:val="28"/>
        </w:rPr>
        <w:t>"</w:t>
      </w:r>
      <w:r w:rsidRPr="001C75FA">
        <w:rPr>
          <w:rFonts w:ascii="Times New Roman" w:hAnsi="Times New Roman"/>
          <w:sz w:val="28"/>
          <w:szCs w:val="28"/>
        </w:rPr>
        <w:t xml:space="preserve"> передбачається надати право Національному антикорупційному бюро України (далі – НАБУ) та його працівникам для виконання покладених на них обов’язків також використовувати військову та спеціальну техніку, боєприпаси, спеціальні комплектувальні вироби для їх виготовлення та експлуатації, матеріали та обладнання, спеціально призначені для їх розроблення, виготовлення або використання, засоби технічного та криптографічного захисту інформації, засоби спеціального зв’язку, товари подвійного використання тощо. Крім того положеннями законопроекту передбачається, що використання наведених засобів здійснюється на підставах та в порядку, передбачених законами та іншими нормативно-правовими актами України.</w:t>
      </w:r>
    </w:p>
    <w:p w:rsidR="001C75FA" w:rsidRPr="001C75FA" w:rsidRDefault="001C75FA" w:rsidP="001C75FA">
      <w:pPr>
        <w:spacing w:after="120" w:line="264" w:lineRule="auto"/>
        <w:ind w:firstLine="709"/>
        <w:jc w:val="both"/>
        <w:rPr>
          <w:rFonts w:ascii="Times New Roman" w:hAnsi="Times New Roman"/>
          <w:sz w:val="28"/>
          <w:szCs w:val="28"/>
        </w:rPr>
      </w:pPr>
      <w:r w:rsidRPr="001C75FA">
        <w:rPr>
          <w:rFonts w:ascii="Times New Roman" w:hAnsi="Times New Roman"/>
          <w:sz w:val="28"/>
          <w:szCs w:val="28"/>
        </w:rPr>
        <w:t xml:space="preserve">У зв’язку із зазначеним слід зауважити, що відповідно до статті 1 Закону України </w:t>
      </w:r>
      <w:r w:rsidRPr="001C75FA">
        <w:rPr>
          <w:rStyle w:val="st42"/>
          <w:sz w:val="28"/>
          <w:szCs w:val="28"/>
        </w:rPr>
        <w:t>"</w:t>
      </w:r>
      <w:r w:rsidRPr="001C75FA">
        <w:rPr>
          <w:rFonts w:ascii="Times New Roman" w:hAnsi="Times New Roman"/>
          <w:bCs/>
          <w:sz w:val="28"/>
          <w:szCs w:val="28"/>
        </w:rPr>
        <w:t>Про державну підтримку підприємств, науково-дослідних інститутів і організацій, які розробляють та виготовляють боєприпаси, їх елементи та вироби спецхімії</w:t>
      </w:r>
      <w:r w:rsidRPr="001C75FA">
        <w:rPr>
          <w:rStyle w:val="st42"/>
          <w:sz w:val="28"/>
          <w:szCs w:val="28"/>
        </w:rPr>
        <w:t>"</w:t>
      </w:r>
      <w:r w:rsidRPr="001C75FA">
        <w:rPr>
          <w:rFonts w:ascii="Times New Roman" w:hAnsi="Times New Roman"/>
          <w:sz w:val="28"/>
          <w:szCs w:val="28"/>
        </w:rPr>
        <w:t xml:space="preserve"> боєприпаси - це вид озброєння, призначений для ураження живої сили противника, знищення його бойової техніки, руйнування укріплень, споруд, виконання інших завдань (освітлення місцевості, розкидання агітаційної літератури тощо). </w:t>
      </w:r>
    </w:p>
    <w:p w:rsidR="001C75FA" w:rsidRPr="001C75FA" w:rsidRDefault="001C75FA" w:rsidP="001C75FA">
      <w:pPr>
        <w:spacing w:after="120" w:line="264" w:lineRule="auto"/>
        <w:ind w:firstLine="709"/>
        <w:jc w:val="both"/>
        <w:rPr>
          <w:rFonts w:ascii="Times New Roman" w:hAnsi="Times New Roman"/>
          <w:sz w:val="28"/>
          <w:szCs w:val="28"/>
        </w:rPr>
      </w:pPr>
      <w:r w:rsidRPr="001C75FA">
        <w:rPr>
          <w:rFonts w:ascii="Times New Roman" w:hAnsi="Times New Roman"/>
          <w:sz w:val="28"/>
          <w:szCs w:val="28"/>
        </w:rPr>
        <w:t xml:space="preserve">Згідно з статтею 1 Закону України </w:t>
      </w:r>
      <w:r w:rsidRPr="001C75FA">
        <w:rPr>
          <w:rStyle w:val="st42"/>
          <w:sz w:val="28"/>
          <w:szCs w:val="28"/>
        </w:rPr>
        <w:t>"</w:t>
      </w:r>
      <w:r w:rsidRPr="001C75FA">
        <w:rPr>
          <w:rFonts w:ascii="Times New Roman" w:hAnsi="Times New Roman"/>
          <w:sz w:val="28"/>
          <w:szCs w:val="28"/>
        </w:rPr>
        <w:t>Про державний контроль за міжнародними передачами товарів військового призначення та подвійного використання</w:t>
      </w:r>
      <w:r w:rsidRPr="001C75FA">
        <w:rPr>
          <w:rStyle w:val="st42"/>
          <w:sz w:val="28"/>
          <w:szCs w:val="28"/>
        </w:rPr>
        <w:t>"</w:t>
      </w:r>
      <w:r w:rsidRPr="001C75FA">
        <w:rPr>
          <w:rFonts w:ascii="Times New Roman" w:hAnsi="Times New Roman"/>
          <w:sz w:val="28"/>
          <w:szCs w:val="28"/>
        </w:rPr>
        <w:t xml:space="preserve"> товари подвійного використання – це окремі види виробів, обладнання, матеріалів, програмного забезпечення і технологій, спеціально не призначені для військового використання, а також послуги (технічна допомога), пов'язані з ними, які, крім цивільного призначення, можуть бути </w:t>
      </w:r>
      <w:r w:rsidRPr="001C75FA">
        <w:rPr>
          <w:rFonts w:ascii="Times New Roman" w:hAnsi="Times New Roman"/>
          <w:sz w:val="28"/>
          <w:szCs w:val="28"/>
        </w:rPr>
        <w:lastRenderedPageBreak/>
        <w:t>використані у військових або терористичних цілях чи для розроблення, виробництва, використання товарів військового призначення, зброї масового знищення, засобів доставки зазначеної зброї чи ядерних вибухових пристроїв, у тому числі окремі види ядерних матеріалів, хімічних речовин, бактеріологічних, біологічних та токсичних препаратів, перелік яких визначається Кабінетом Міністрів України.</w:t>
      </w:r>
    </w:p>
    <w:p w:rsidR="001C75FA" w:rsidRPr="001C75FA" w:rsidRDefault="001C75FA" w:rsidP="001C75FA">
      <w:pPr>
        <w:spacing w:after="120" w:line="264" w:lineRule="auto"/>
        <w:ind w:firstLine="709"/>
        <w:jc w:val="both"/>
        <w:rPr>
          <w:rFonts w:ascii="Times New Roman" w:hAnsi="Times New Roman"/>
          <w:sz w:val="28"/>
          <w:szCs w:val="28"/>
        </w:rPr>
      </w:pPr>
      <w:r w:rsidRPr="001C75FA">
        <w:rPr>
          <w:rFonts w:ascii="Times New Roman" w:hAnsi="Times New Roman"/>
          <w:sz w:val="28"/>
          <w:szCs w:val="28"/>
        </w:rPr>
        <w:t>Підстави та порядок застосування зброї та бойової техніки в мирний час та в особливий період (крім періоду дії воєнного стану) регламентується статтею 1</w:t>
      </w:r>
      <w:r w:rsidRPr="001C75FA">
        <w:rPr>
          <w:rFonts w:ascii="Times New Roman" w:hAnsi="Times New Roman"/>
          <w:sz w:val="28"/>
          <w:szCs w:val="28"/>
          <w:vertAlign w:val="superscript"/>
        </w:rPr>
        <w:t>1</w:t>
      </w:r>
      <w:r w:rsidRPr="001C75FA">
        <w:rPr>
          <w:rFonts w:ascii="Times New Roman" w:hAnsi="Times New Roman"/>
          <w:sz w:val="28"/>
          <w:szCs w:val="28"/>
        </w:rPr>
        <w:t xml:space="preserve"> Закону України </w:t>
      </w:r>
      <w:r w:rsidRPr="001C75FA">
        <w:rPr>
          <w:rStyle w:val="st42"/>
          <w:sz w:val="28"/>
          <w:szCs w:val="28"/>
        </w:rPr>
        <w:t>"</w:t>
      </w:r>
      <w:r w:rsidRPr="001C75FA">
        <w:rPr>
          <w:rFonts w:ascii="Times New Roman" w:hAnsi="Times New Roman"/>
          <w:sz w:val="28"/>
          <w:szCs w:val="28"/>
        </w:rPr>
        <w:t>Про Збройні Сили України</w:t>
      </w:r>
      <w:r w:rsidRPr="001C75FA">
        <w:rPr>
          <w:rStyle w:val="st42"/>
          <w:sz w:val="28"/>
          <w:szCs w:val="28"/>
        </w:rPr>
        <w:t>"</w:t>
      </w:r>
      <w:r w:rsidRPr="001C75FA">
        <w:rPr>
          <w:rFonts w:ascii="Times New Roman" w:hAnsi="Times New Roman"/>
          <w:sz w:val="28"/>
          <w:szCs w:val="28"/>
        </w:rPr>
        <w:t xml:space="preserve"> і покладається таке застосування на з’єднання, військові частини, підрозділи і військовослужбовців, у тому числі чергові сили, Збройних Сил України.</w:t>
      </w:r>
    </w:p>
    <w:p w:rsidR="001C75FA" w:rsidRPr="001C75FA" w:rsidRDefault="001C75FA" w:rsidP="001C75FA">
      <w:pPr>
        <w:spacing w:after="120" w:line="264" w:lineRule="auto"/>
        <w:ind w:firstLine="709"/>
        <w:jc w:val="both"/>
        <w:rPr>
          <w:rFonts w:ascii="Times New Roman" w:hAnsi="Times New Roman"/>
          <w:sz w:val="28"/>
          <w:szCs w:val="28"/>
        </w:rPr>
      </w:pPr>
      <w:r w:rsidRPr="001C75FA">
        <w:rPr>
          <w:rFonts w:ascii="Times New Roman" w:hAnsi="Times New Roman"/>
          <w:sz w:val="28"/>
          <w:szCs w:val="28"/>
        </w:rPr>
        <w:t xml:space="preserve">Водночас до обов’язків НАБУ згідно зі статтею 16 Закону України </w:t>
      </w:r>
      <w:r w:rsidRPr="001C75FA">
        <w:rPr>
          <w:rStyle w:val="st42"/>
          <w:sz w:val="28"/>
          <w:szCs w:val="28"/>
        </w:rPr>
        <w:t>"</w:t>
      </w:r>
      <w:r w:rsidRPr="001C75FA">
        <w:rPr>
          <w:rFonts w:ascii="Times New Roman" w:hAnsi="Times New Roman"/>
          <w:sz w:val="28"/>
          <w:szCs w:val="28"/>
        </w:rPr>
        <w:t>Про Національне антикорупційне бюро України</w:t>
      </w:r>
      <w:r w:rsidRPr="001C75FA">
        <w:rPr>
          <w:rStyle w:val="st42"/>
          <w:sz w:val="28"/>
          <w:szCs w:val="28"/>
        </w:rPr>
        <w:t>"</w:t>
      </w:r>
      <w:r w:rsidRPr="001C75FA">
        <w:rPr>
          <w:rFonts w:ascii="Times New Roman" w:hAnsi="Times New Roman"/>
          <w:sz w:val="28"/>
          <w:szCs w:val="28"/>
        </w:rPr>
        <w:t xml:space="preserve"> віднесено, серед іншого, здійснення оперативно-розшукових заходів з метою попередження, виявлення, припинення та розкриття кримінальних правопорушень, віднесених законом до його підслідності, а також в оперативно-розшукових справах, витребуваних від інших правоохоронних органів; </w:t>
      </w:r>
      <w:bookmarkStart w:id="1" w:name="n544"/>
      <w:bookmarkStart w:id="2" w:name="n189"/>
      <w:bookmarkEnd w:id="1"/>
      <w:bookmarkEnd w:id="2"/>
      <w:r w:rsidRPr="001C75FA">
        <w:rPr>
          <w:rFonts w:ascii="Times New Roman" w:hAnsi="Times New Roman"/>
          <w:sz w:val="28"/>
          <w:szCs w:val="28"/>
        </w:rPr>
        <w:t xml:space="preserve">здійснення досудового розслідування кримінальних правопорушень, віднесених законом до його підслідності, а також проведення досудового розслідування інших кримінальних правопорушень у випадках, визначених законом; </w:t>
      </w:r>
      <w:bookmarkStart w:id="3" w:name="n545"/>
      <w:bookmarkStart w:id="4" w:name="n190"/>
      <w:bookmarkEnd w:id="3"/>
      <w:bookmarkEnd w:id="4"/>
      <w:r w:rsidRPr="001C75FA">
        <w:rPr>
          <w:rFonts w:ascii="Times New Roman" w:hAnsi="Times New Roman"/>
          <w:sz w:val="28"/>
          <w:szCs w:val="28"/>
        </w:rPr>
        <w:t>вжиття заходів щодо розшуку та арешту коштів та іншого майна, які можуть бути предметом конфіскації або спеціальної конфіскації у кримінальних правопорушеннях, віднесених до підслідності НАБУ, здійснення діяльності щодо зберігання коштів та іншого майна, на яке накладено арешт.</w:t>
      </w:r>
    </w:p>
    <w:p w:rsidR="001C75FA" w:rsidRPr="001C75FA" w:rsidRDefault="001C75FA" w:rsidP="001C75FA">
      <w:pPr>
        <w:spacing w:after="120" w:line="264" w:lineRule="auto"/>
        <w:ind w:firstLine="709"/>
        <w:jc w:val="both"/>
        <w:rPr>
          <w:rFonts w:ascii="Times New Roman" w:hAnsi="Times New Roman"/>
          <w:sz w:val="28"/>
          <w:szCs w:val="28"/>
        </w:rPr>
      </w:pPr>
      <w:bookmarkStart w:id="5" w:name="n191"/>
      <w:bookmarkEnd w:id="5"/>
      <w:r w:rsidRPr="001C75FA">
        <w:rPr>
          <w:rFonts w:ascii="Times New Roman" w:hAnsi="Times New Roman"/>
          <w:sz w:val="28"/>
          <w:szCs w:val="28"/>
        </w:rPr>
        <w:t xml:space="preserve">Зі змісту чинних положень Закону України </w:t>
      </w:r>
      <w:r w:rsidRPr="001C75FA">
        <w:rPr>
          <w:rStyle w:val="st42"/>
          <w:sz w:val="28"/>
          <w:szCs w:val="28"/>
        </w:rPr>
        <w:t>"</w:t>
      </w:r>
      <w:r w:rsidRPr="001C75FA">
        <w:rPr>
          <w:rFonts w:ascii="Times New Roman" w:hAnsi="Times New Roman"/>
          <w:sz w:val="28"/>
          <w:szCs w:val="28"/>
        </w:rPr>
        <w:t>Про Національне антикорупційне бюро України</w:t>
      </w:r>
      <w:r w:rsidRPr="001C75FA">
        <w:rPr>
          <w:rStyle w:val="st42"/>
          <w:sz w:val="28"/>
          <w:szCs w:val="28"/>
        </w:rPr>
        <w:t>"</w:t>
      </w:r>
      <w:r w:rsidRPr="001C75FA">
        <w:rPr>
          <w:rFonts w:ascii="Times New Roman" w:hAnsi="Times New Roman"/>
          <w:sz w:val="28"/>
          <w:szCs w:val="28"/>
        </w:rPr>
        <w:t xml:space="preserve"> не вбачається наявність у НАБУ повноважень у сфері забезпечення оборони або державної безпеки. Крім того, зміни до відповідних положень Закону України </w:t>
      </w:r>
      <w:r w:rsidRPr="001C75FA">
        <w:rPr>
          <w:rStyle w:val="st42"/>
          <w:sz w:val="28"/>
          <w:szCs w:val="28"/>
        </w:rPr>
        <w:t>"</w:t>
      </w:r>
      <w:r w:rsidRPr="001C75FA">
        <w:rPr>
          <w:rFonts w:ascii="Times New Roman" w:hAnsi="Times New Roman"/>
          <w:sz w:val="28"/>
          <w:szCs w:val="28"/>
        </w:rPr>
        <w:t>Про Національне антикорупційне бюро України</w:t>
      </w:r>
      <w:r w:rsidRPr="001C75FA">
        <w:rPr>
          <w:rStyle w:val="st42"/>
          <w:sz w:val="28"/>
          <w:szCs w:val="28"/>
        </w:rPr>
        <w:t>"</w:t>
      </w:r>
      <w:r w:rsidRPr="001C75FA">
        <w:rPr>
          <w:rFonts w:ascii="Times New Roman" w:hAnsi="Times New Roman"/>
          <w:sz w:val="28"/>
          <w:szCs w:val="28"/>
        </w:rPr>
        <w:t xml:space="preserve"> щодо розширення завдань та повноважень НАБУ також не передбачені законопроектом. Отже, надання права на використання при здійсненні своїх повноважень працівниками НАБУ боєприпасів, військової та спеціальної техніки, їх розроблення та виготовлення тощо є безпідставним і таким, що не узгоджується з частиною другу статті 19 Конституції України, відповідно до якої органи державної влади, їх посадові особи зобов’язані діяти лише на підставі, в межах повноважень та у спосіб, що передбачені Конституцією та законами України.</w:t>
      </w:r>
    </w:p>
    <w:p w:rsidR="001C75FA" w:rsidRPr="001C75FA" w:rsidRDefault="001C75FA" w:rsidP="001C75FA">
      <w:pPr>
        <w:spacing w:after="120" w:line="264" w:lineRule="auto"/>
        <w:ind w:firstLine="709"/>
        <w:jc w:val="both"/>
        <w:rPr>
          <w:rFonts w:ascii="Times New Roman" w:hAnsi="Times New Roman"/>
          <w:sz w:val="28"/>
          <w:szCs w:val="28"/>
        </w:rPr>
      </w:pPr>
      <w:r w:rsidRPr="001C75FA">
        <w:rPr>
          <w:rFonts w:ascii="Times New Roman" w:hAnsi="Times New Roman"/>
          <w:sz w:val="28"/>
          <w:szCs w:val="28"/>
        </w:rPr>
        <w:t xml:space="preserve">14. У частині нормативно-правового регулювання умов та порядку застосування заходів фізичного впливу, спеціальних засобів, вогнепальної зброї тощо слід зазначити, що запропоновані редакції змін до статей 17 та 18 </w:t>
      </w:r>
      <w:r w:rsidRPr="001C75FA">
        <w:rPr>
          <w:rFonts w:ascii="Times New Roman" w:hAnsi="Times New Roman"/>
          <w:sz w:val="28"/>
          <w:szCs w:val="28"/>
        </w:rPr>
        <w:lastRenderedPageBreak/>
        <w:t xml:space="preserve">Закону України </w:t>
      </w:r>
      <w:r w:rsidRPr="001C75FA">
        <w:rPr>
          <w:rStyle w:val="st42"/>
          <w:sz w:val="28"/>
          <w:szCs w:val="28"/>
        </w:rPr>
        <w:t>"</w:t>
      </w:r>
      <w:r w:rsidRPr="001C75FA">
        <w:rPr>
          <w:rFonts w:ascii="Times New Roman" w:hAnsi="Times New Roman"/>
          <w:sz w:val="28"/>
          <w:szCs w:val="28"/>
        </w:rPr>
        <w:t>Про Національне антикорупційне бюро України</w:t>
      </w:r>
      <w:r w:rsidRPr="001C75FA">
        <w:rPr>
          <w:rStyle w:val="st42"/>
          <w:sz w:val="28"/>
          <w:szCs w:val="28"/>
        </w:rPr>
        <w:t>"</w:t>
      </w:r>
      <w:r w:rsidRPr="001C75FA">
        <w:rPr>
          <w:rFonts w:ascii="Times New Roman" w:hAnsi="Times New Roman"/>
          <w:sz w:val="28"/>
          <w:szCs w:val="28"/>
        </w:rPr>
        <w:t xml:space="preserve"> не враховують вимог частини третьої статті 17 та пункту 1 частини першої статті 92 Конституції України.</w:t>
      </w:r>
    </w:p>
    <w:p w:rsidR="001C75FA" w:rsidRPr="001C75FA" w:rsidRDefault="001C75FA" w:rsidP="001C75FA">
      <w:pPr>
        <w:spacing w:after="120" w:line="264" w:lineRule="auto"/>
        <w:ind w:firstLine="709"/>
        <w:jc w:val="both"/>
        <w:rPr>
          <w:rFonts w:ascii="Times New Roman" w:hAnsi="Times New Roman"/>
          <w:sz w:val="28"/>
          <w:szCs w:val="28"/>
        </w:rPr>
      </w:pPr>
      <w:r w:rsidRPr="001C75FA">
        <w:rPr>
          <w:rFonts w:ascii="Times New Roman" w:hAnsi="Times New Roman"/>
          <w:sz w:val="28"/>
          <w:szCs w:val="28"/>
        </w:rPr>
        <w:t xml:space="preserve">Так, з огляду на завдання та обов’язки НАБУ, визначені у статтях 1 та 16 Закону України </w:t>
      </w:r>
      <w:r w:rsidRPr="001C75FA">
        <w:rPr>
          <w:rStyle w:val="st42"/>
          <w:sz w:val="28"/>
          <w:szCs w:val="28"/>
        </w:rPr>
        <w:t>"</w:t>
      </w:r>
      <w:r w:rsidRPr="001C75FA">
        <w:rPr>
          <w:rFonts w:ascii="Times New Roman" w:hAnsi="Times New Roman"/>
          <w:sz w:val="28"/>
          <w:szCs w:val="28"/>
        </w:rPr>
        <w:t>Про Національне антикорупційне бюро України</w:t>
      </w:r>
      <w:r w:rsidRPr="001C75FA">
        <w:rPr>
          <w:rStyle w:val="st42"/>
          <w:sz w:val="28"/>
          <w:szCs w:val="28"/>
        </w:rPr>
        <w:t>"</w:t>
      </w:r>
      <w:r w:rsidRPr="001C75FA">
        <w:rPr>
          <w:rFonts w:ascii="Times New Roman" w:hAnsi="Times New Roman"/>
          <w:sz w:val="28"/>
          <w:szCs w:val="28"/>
        </w:rPr>
        <w:t xml:space="preserve"> основними видами діяльності НАБУ є здійснення досудового розслідування кримінальних правопорушень, віднесених законом до його підслідності, а також здійснення оперативно-розшукових заходів з метою попередження, виявлення, припинення та розкриття кримінальних правопорушень, віднесених законом до його підслідності. Відповідно застосування заходів фізичного впливу, спеціальних засобів, вогнепальної зброї тощо здійснюватиметься щодо фізичних осіб – підозрюваного, обвинуваченого. </w:t>
      </w:r>
    </w:p>
    <w:p w:rsidR="001C75FA" w:rsidRPr="001C75FA" w:rsidRDefault="001C75FA" w:rsidP="001C75FA">
      <w:pPr>
        <w:spacing w:after="120" w:line="264" w:lineRule="auto"/>
        <w:ind w:firstLine="709"/>
        <w:jc w:val="both"/>
        <w:rPr>
          <w:rFonts w:ascii="Times New Roman" w:hAnsi="Times New Roman"/>
          <w:sz w:val="28"/>
          <w:szCs w:val="28"/>
        </w:rPr>
      </w:pPr>
      <w:r w:rsidRPr="001C75FA">
        <w:rPr>
          <w:rFonts w:ascii="Times New Roman" w:hAnsi="Times New Roman"/>
          <w:sz w:val="28"/>
          <w:szCs w:val="28"/>
        </w:rPr>
        <w:t xml:space="preserve">Відповідно до положень статті 92 Конституції України права і свободи людини і громадянина, гарантії цих прав і свобод визначаються виключно законами України. </w:t>
      </w:r>
    </w:p>
    <w:p w:rsidR="001C75FA" w:rsidRPr="001C75FA" w:rsidRDefault="001C75FA" w:rsidP="001C75FA">
      <w:pPr>
        <w:spacing w:after="120" w:line="264" w:lineRule="auto"/>
        <w:ind w:firstLine="709"/>
        <w:jc w:val="both"/>
        <w:rPr>
          <w:rFonts w:ascii="Times New Roman" w:hAnsi="Times New Roman"/>
          <w:sz w:val="28"/>
          <w:szCs w:val="28"/>
        </w:rPr>
      </w:pPr>
      <w:r w:rsidRPr="001C75FA">
        <w:rPr>
          <w:rFonts w:ascii="Times New Roman" w:hAnsi="Times New Roman"/>
          <w:sz w:val="28"/>
          <w:szCs w:val="28"/>
        </w:rPr>
        <w:t xml:space="preserve">У чинному законодавстві питання підстав та порядку застосування заходів фізичного впливу, спеціальних засобів та вогнепальної зброї, як інструментів обмеження прав і свобод людини і громадянина, регламентовано у Законі України </w:t>
      </w:r>
      <w:r w:rsidRPr="001C75FA">
        <w:rPr>
          <w:rStyle w:val="st42"/>
          <w:sz w:val="28"/>
          <w:szCs w:val="28"/>
        </w:rPr>
        <w:t>"</w:t>
      </w:r>
      <w:r w:rsidRPr="001C75FA">
        <w:rPr>
          <w:rFonts w:ascii="Times New Roman" w:hAnsi="Times New Roman"/>
          <w:sz w:val="28"/>
          <w:szCs w:val="28"/>
        </w:rPr>
        <w:t>Про Національну поліцію</w:t>
      </w:r>
      <w:r w:rsidRPr="001C75FA">
        <w:rPr>
          <w:rStyle w:val="st42"/>
          <w:sz w:val="28"/>
          <w:szCs w:val="28"/>
        </w:rPr>
        <w:t>"</w:t>
      </w:r>
      <w:r w:rsidRPr="001C75FA">
        <w:rPr>
          <w:rFonts w:ascii="Times New Roman" w:hAnsi="Times New Roman"/>
          <w:sz w:val="28"/>
          <w:szCs w:val="28"/>
        </w:rPr>
        <w:t xml:space="preserve">. </w:t>
      </w:r>
    </w:p>
    <w:p w:rsidR="001C75FA" w:rsidRPr="001C75FA" w:rsidRDefault="001C75FA" w:rsidP="00134D95">
      <w:pPr>
        <w:spacing w:after="120" w:line="264" w:lineRule="auto"/>
        <w:ind w:firstLine="709"/>
        <w:jc w:val="both"/>
        <w:rPr>
          <w:rFonts w:ascii="Times New Roman" w:hAnsi="Times New Roman"/>
          <w:sz w:val="28"/>
          <w:szCs w:val="28"/>
        </w:rPr>
      </w:pPr>
      <w:r w:rsidRPr="001C75FA">
        <w:rPr>
          <w:rFonts w:ascii="Times New Roman" w:hAnsi="Times New Roman"/>
          <w:sz w:val="28"/>
          <w:szCs w:val="28"/>
        </w:rPr>
        <w:t xml:space="preserve">Аналіз чинних законів, зокрема законів України </w:t>
      </w:r>
      <w:r w:rsidRPr="001C75FA">
        <w:rPr>
          <w:rStyle w:val="st42"/>
          <w:sz w:val="28"/>
          <w:szCs w:val="28"/>
        </w:rPr>
        <w:t>"</w:t>
      </w:r>
      <w:r w:rsidRPr="001C75FA">
        <w:rPr>
          <w:rFonts w:ascii="Times New Roman" w:hAnsi="Times New Roman"/>
          <w:sz w:val="28"/>
          <w:szCs w:val="28"/>
        </w:rPr>
        <w:t>Про оперативно-розшукову діяльність</w:t>
      </w:r>
      <w:r w:rsidRPr="001C75FA">
        <w:rPr>
          <w:rStyle w:val="st42"/>
          <w:sz w:val="28"/>
          <w:szCs w:val="28"/>
        </w:rPr>
        <w:t>"</w:t>
      </w:r>
      <w:r w:rsidRPr="001C75FA">
        <w:rPr>
          <w:rFonts w:ascii="Times New Roman" w:hAnsi="Times New Roman"/>
          <w:sz w:val="28"/>
          <w:szCs w:val="28"/>
        </w:rPr>
        <w:t xml:space="preserve">, </w:t>
      </w:r>
      <w:r w:rsidRPr="001C75FA">
        <w:rPr>
          <w:rStyle w:val="st42"/>
          <w:sz w:val="28"/>
          <w:szCs w:val="28"/>
        </w:rPr>
        <w:t>"</w:t>
      </w:r>
      <w:r w:rsidRPr="001C75FA">
        <w:rPr>
          <w:rFonts w:ascii="Times New Roman" w:hAnsi="Times New Roman"/>
          <w:sz w:val="28"/>
          <w:szCs w:val="28"/>
        </w:rPr>
        <w:t>Про Службу безпеки України</w:t>
      </w:r>
      <w:r w:rsidRPr="001C75FA">
        <w:rPr>
          <w:rStyle w:val="st42"/>
          <w:sz w:val="28"/>
          <w:szCs w:val="28"/>
        </w:rPr>
        <w:t>"</w:t>
      </w:r>
      <w:r w:rsidRPr="001C75FA">
        <w:rPr>
          <w:rFonts w:ascii="Times New Roman" w:hAnsi="Times New Roman"/>
          <w:sz w:val="28"/>
          <w:szCs w:val="28"/>
        </w:rPr>
        <w:t xml:space="preserve">, </w:t>
      </w:r>
      <w:r w:rsidRPr="001C75FA">
        <w:rPr>
          <w:rStyle w:val="st42"/>
          <w:sz w:val="28"/>
          <w:szCs w:val="28"/>
        </w:rPr>
        <w:t>"</w:t>
      </w:r>
      <w:r w:rsidRPr="001C75FA">
        <w:rPr>
          <w:rFonts w:ascii="Times New Roman" w:hAnsi="Times New Roman"/>
          <w:sz w:val="28"/>
          <w:szCs w:val="28"/>
        </w:rPr>
        <w:t>Про Державне бюро розслідувань</w:t>
      </w:r>
      <w:r w:rsidRPr="001C75FA">
        <w:rPr>
          <w:rStyle w:val="st42"/>
          <w:sz w:val="28"/>
          <w:szCs w:val="28"/>
        </w:rPr>
        <w:t>"</w:t>
      </w:r>
      <w:r w:rsidRPr="001C75FA">
        <w:rPr>
          <w:rFonts w:ascii="Times New Roman" w:hAnsi="Times New Roman"/>
          <w:sz w:val="28"/>
          <w:szCs w:val="28"/>
        </w:rPr>
        <w:t xml:space="preserve">, </w:t>
      </w:r>
      <w:r w:rsidRPr="001C75FA">
        <w:rPr>
          <w:rStyle w:val="st42"/>
          <w:sz w:val="28"/>
          <w:szCs w:val="28"/>
        </w:rPr>
        <w:t>"</w:t>
      </w:r>
      <w:r w:rsidRPr="001C75FA">
        <w:rPr>
          <w:rFonts w:ascii="Times New Roman" w:hAnsi="Times New Roman"/>
          <w:sz w:val="28"/>
          <w:szCs w:val="28"/>
        </w:rPr>
        <w:t>Про Державну прикордонну службу України</w:t>
      </w:r>
      <w:r w:rsidRPr="001C75FA">
        <w:rPr>
          <w:rStyle w:val="st42"/>
          <w:sz w:val="28"/>
          <w:szCs w:val="28"/>
        </w:rPr>
        <w:t>"</w:t>
      </w:r>
      <w:r w:rsidRPr="001C75FA">
        <w:rPr>
          <w:rFonts w:ascii="Times New Roman" w:hAnsi="Times New Roman"/>
          <w:sz w:val="28"/>
          <w:szCs w:val="28"/>
        </w:rPr>
        <w:t xml:space="preserve">, дає змогу дійти висновку, що у разі надання законодавцем правоохоронним органам повноважень щодо застосування заходів фізичного впливу, спеціальних засобів та вогнепальної зброї, відповідні норми таких законів у частині визначення підстав і умов застосування містять положення, що відсилають до Закону України </w:t>
      </w:r>
      <w:r w:rsidRPr="001C75FA">
        <w:rPr>
          <w:rStyle w:val="st42"/>
          <w:sz w:val="28"/>
          <w:szCs w:val="28"/>
        </w:rPr>
        <w:t>"</w:t>
      </w:r>
      <w:r w:rsidRPr="001C75FA">
        <w:rPr>
          <w:rFonts w:ascii="Times New Roman" w:hAnsi="Times New Roman"/>
          <w:sz w:val="28"/>
          <w:szCs w:val="28"/>
        </w:rPr>
        <w:t>Про Національну поліцію</w:t>
      </w:r>
      <w:r w:rsidRPr="001C75FA">
        <w:rPr>
          <w:rStyle w:val="st42"/>
          <w:sz w:val="28"/>
          <w:szCs w:val="28"/>
        </w:rPr>
        <w:t>"</w:t>
      </w:r>
      <w:r w:rsidRPr="001C75FA">
        <w:rPr>
          <w:rFonts w:ascii="Times New Roman" w:hAnsi="Times New Roman"/>
          <w:sz w:val="28"/>
          <w:szCs w:val="28"/>
        </w:rPr>
        <w:t>.</w:t>
      </w:r>
    </w:p>
    <w:p w:rsidR="001C75FA" w:rsidRPr="001C75FA" w:rsidRDefault="001C75FA" w:rsidP="001C75FA">
      <w:pPr>
        <w:spacing w:after="120" w:line="264" w:lineRule="auto"/>
        <w:ind w:firstLine="709"/>
        <w:jc w:val="both"/>
        <w:rPr>
          <w:rFonts w:ascii="Times New Roman" w:hAnsi="Times New Roman"/>
          <w:sz w:val="28"/>
          <w:szCs w:val="28"/>
        </w:rPr>
      </w:pPr>
      <w:r w:rsidRPr="001C75FA">
        <w:rPr>
          <w:rFonts w:ascii="Times New Roman" w:hAnsi="Times New Roman"/>
          <w:sz w:val="28"/>
          <w:szCs w:val="28"/>
        </w:rPr>
        <w:t xml:space="preserve">Натомість зі змісту пункту 15 частини першої статті 17 та статті 18 Закону України </w:t>
      </w:r>
      <w:r w:rsidRPr="001C75FA">
        <w:rPr>
          <w:rStyle w:val="st42"/>
          <w:sz w:val="28"/>
          <w:szCs w:val="28"/>
        </w:rPr>
        <w:t>"</w:t>
      </w:r>
      <w:r w:rsidRPr="001C75FA">
        <w:rPr>
          <w:rFonts w:ascii="Times New Roman" w:hAnsi="Times New Roman"/>
          <w:sz w:val="28"/>
          <w:szCs w:val="28"/>
        </w:rPr>
        <w:t>Про Національне антикорупційне бюро України</w:t>
      </w:r>
      <w:r w:rsidRPr="001C75FA">
        <w:rPr>
          <w:rStyle w:val="st42"/>
          <w:sz w:val="28"/>
          <w:szCs w:val="28"/>
        </w:rPr>
        <w:t>"</w:t>
      </w:r>
      <w:r w:rsidRPr="001C75FA">
        <w:rPr>
          <w:rFonts w:ascii="Times New Roman" w:hAnsi="Times New Roman"/>
          <w:sz w:val="28"/>
          <w:szCs w:val="28"/>
        </w:rPr>
        <w:t xml:space="preserve"> у редакції законопроекту вбачається, що застосування заходів фізичного впливу, спеціальних засобів та вогнепальної зброї працівниками НАБУ може бути врегульовано підзаконними нормативно-правовими актами, що не узгоджується з частиною третьою статті 17 та пунктом 1 частини першої статті 92 Конституції України.</w:t>
      </w:r>
    </w:p>
    <w:p w:rsidR="001C75FA" w:rsidRPr="001C75FA" w:rsidRDefault="001C75FA" w:rsidP="001C75FA">
      <w:pPr>
        <w:pStyle w:val="StyleZakonu"/>
        <w:spacing w:after="120" w:line="264" w:lineRule="auto"/>
        <w:ind w:firstLine="709"/>
        <w:rPr>
          <w:sz w:val="28"/>
          <w:szCs w:val="28"/>
        </w:rPr>
      </w:pPr>
      <w:r w:rsidRPr="001C75FA">
        <w:rPr>
          <w:sz w:val="28"/>
          <w:szCs w:val="28"/>
        </w:rPr>
        <w:t xml:space="preserve">15. Згідно з пунктом 6 розділу </w:t>
      </w:r>
      <w:r w:rsidRPr="001C75FA">
        <w:rPr>
          <w:sz w:val="28"/>
          <w:szCs w:val="28"/>
          <w:lang w:val="en-US"/>
        </w:rPr>
        <w:t>XI</w:t>
      </w:r>
      <w:r w:rsidRPr="001C75FA">
        <w:rPr>
          <w:sz w:val="28"/>
          <w:szCs w:val="28"/>
        </w:rPr>
        <w:t xml:space="preserve"> </w:t>
      </w:r>
      <w:r w:rsidRPr="001C75FA">
        <w:rPr>
          <w:rStyle w:val="st42"/>
          <w:sz w:val="28"/>
          <w:szCs w:val="28"/>
        </w:rPr>
        <w:t>"</w:t>
      </w:r>
      <w:r w:rsidRPr="001C75FA">
        <w:rPr>
          <w:sz w:val="28"/>
          <w:szCs w:val="28"/>
        </w:rPr>
        <w:t>Прикінцеві та перехідні положення</w:t>
      </w:r>
      <w:r w:rsidRPr="001C75FA">
        <w:rPr>
          <w:rStyle w:val="st42"/>
          <w:sz w:val="28"/>
          <w:szCs w:val="28"/>
        </w:rPr>
        <w:t>"</w:t>
      </w:r>
      <w:r w:rsidRPr="001C75FA">
        <w:rPr>
          <w:sz w:val="28"/>
          <w:szCs w:val="28"/>
        </w:rPr>
        <w:t xml:space="preserve"> законопроекту передбачається, що положення цього </w:t>
      </w:r>
      <w:r w:rsidRPr="001C75FA">
        <w:rPr>
          <w:color w:val="000000"/>
          <w:sz w:val="28"/>
          <w:szCs w:val="28"/>
        </w:rPr>
        <w:t xml:space="preserve">Закону щодо функціонування Реєстру набирають чинності з моменту затвердження порядку та особливостей функціонування Електронного реєстру учасників відбору та </w:t>
      </w:r>
      <w:r w:rsidRPr="001C75FA">
        <w:rPr>
          <w:color w:val="000000"/>
          <w:sz w:val="28"/>
          <w:szCs w:val="28"/>
        </w:rPr>
        <w:lastRenderedPageBreak/>
        <w:t xml:space="preserve">виконавців державних контрактів (договорів) з оборонних закупівель, що </w:t>
      </w:r>
      <w:r w:rsidRPr="001C75FA">
        <w:rPr>
          <w:sz w:val="28"/>
          <w:szCs w:val="28"/>
        </w:rPr>
        <w:t xml:space="preserve">є юридично некоректним, оскільки реалізація норм цього Закону ставиться в залежність від прийняття Урядом України у майбутньому підзаконних актів. Те саме стосується пунктів 7 і 8 цього розділу, якими дія окремих норм цього Закону ставиться у залежність від набрання чинності підзаконними нормативно-правовими актами. </w:t>
      </w:r>
    </w:p>
    <w:p w:rsidR="001C75FA" w:rsidRPr="001C75FA" w:rsidRDefault="001C75FA" w:rsidP="001C75FA">
      <w:pPr>
        <w:pStyle w:val="StyleZakonu"/>
        <w:spacing w:after="240" w:line="264" w:lineRule="auto"/>
        <w:ind w:firstLine="709"/>
        <w:rPr>
          <w:rStyle w:val="st42"/>
          <w:sz w:val="28"/>
          <w:szCs w:val="28"/>
        </w:rPr>
      </w:pPr>
      <w:r w:rsidRPr="001C75FA">
        <w:rPr>
          <w:sz w:val="28"/>
          <w:szCs w:val="28"/>
        </w:rPr>
        <w:t xml:space="preserve">16. Абзацом п’ятим пункту 11 розділу </w:t>
      </w:r>
      <w:r w:rsidRPr="001C75FA">
        <w:rPr>
          <w:sz w:val="28"/>
          <w:szCs w:val="28"/>
          <w:lang w:val="en-US"/>
        </w:rPr>
        <w:t>XI</w:t>
      </w:r>
      <w:r w:rsidRPr="001C75FA">
        <w:rPr>
          <w:sz w:val="28"/>
          <w:szCs w:val="28"/>
        </w:rPr>
        <w:t xml:space="preserve"> </w:t>
      </w:r>
      <w:r w:rsidRPr="001C75FA">
        <w:rPr>
          <w:rStyle w:val="st42"/>
          <w:sz w:val="28"/>
          <w:szCs w:val="28"/>
        </w:rPr>
        <w:t>"</w:t>
      </w:r>
      <w:r w:rsidRPr="001C75FA">
        <w:rPr>
          <w:sz w:val="28"/>
          <w:szCs w:val="28"/>
        </w:rPr>
        <w:t>Прикінцеві та перехідні положення</w:t>
      </w:r>
      <w:r w:rsidRPr="001C75FA">
        <w:rPr>
          <w:rStyle w:val="st42"/>
          <w:sz w:val="28"/>
          <w:szCs w:val="28"/>
        </w:rPr>
        <w:t>"</w:t>
      </w:r>
      <w:r w:rsidRPr="001C75FA">
        <w:rPr>
          <w:sz w:val="28"/>
          <w:szCs w:val="28"/>
        </w:rPr>
        <w:t xml:space="preserve"> законопроекту передбачається надати доручення Кабінету Міністрів України у шестимісячний строк з дня опублікування цього Закону </w:t>
      </w:r>
      <w:proofErr w:type="spellStart"/>
      <w:r w:rsidRPr="001C75FA">
        <w:rPr>
          <w:sz w:val="28"/>
          <w:szCs w:val="28"/>
        </w:rPr>
        <w:t>внести</w:t>
      </w:r>
      <w:proofErr w:type="spellEnd"/>
      <w:r w:rsidRPr="001C75FA">
        <w:rPr>
          <w:sz w:val="28"/>
          <w:szCs w:val="28"/>
        </w:rPr>
        <w:t xml:space="preserve"> на розгляд Верховної Ради України законопроект про внесення змін до деяких законодавчих актів України щодо звільнення від оподаткування державних замовників у сфері оборонних закупівель при здійсненні закупівель у спеціалізованих організацій, що здійснюють закупівлі для потреб оборони. Такий підхід не враховує вимог частини восьмої статті 90 Регламенту Верховної Ради України, за якою </w:t>
      </w:r>
      <w:r w:rsidRPr="001C75FA">
        <w:rPr>
          <w:rStyle w:val="st42"/>
          <w:sz w:val="28"/>
          <w:szCs w:val="28"/>
        </w:rPr>
        <w:t>"якщо для реалізації положень поданого законопроекту після його прийняття необхідні зміни до інших законів, такі зміни мають викладатися в розділі "Перехідні положення" цього законопроекту або в одночасно внесеному його ініціатором окремому законопроекті".</w:t>
      </w:r>
    </w:p>
    <w:p w:rsidR="001C75FA" w:rsidRPr="001C75FA" w:rsidRDefault="001C75FA" w:rsidP="001C75FA">
      <w:pPr>
        <w:suppressAutoHyphens/>
        <w:spacing w:after="120" w:line="264" w:lineRule="auto"/>
        <w:ind w:leftChars="-1" w:left="-2" w:firstLine="709"/>
        <w:jc w:val="both"/>
        <w:textAlignment w:val="top"/>
        <w:outlineLvl w:val="0"/>
        <w:rPr>
          <w:rFonts w:ascii="Times New Roman" w:hAnsi="Times New Roman"/>
          <w:color w:val="000000"/>
          <w:sz w:val="28"/>
          <w:szCs w:val="28"/>
        </w:rPr>
      </w:pPr>
      <w:r w:rsidRPr="001C75FA">
        <w:rPr>
          <w:rFonts w:ascii="Times New Roman" w:hAnsi="Times New Roman"/>
          <w:color w:val="000000"/>
          <w:sz w:val="28"/>
          <w:szCs w:val="28"/>
        </w:rPr>
        <w:t xml:space="preserve">Зважаючи на обсяг та характер висловлених зауважень вважаємо, що законопроект потребує доопрацювання з урахуванням можливостей, передбачених </w:t>
      </w:r>
      <w:r w:rsidRPr="001C75FA">
        <w:rPr>
          <w:rFonts w:ascii="Times New Roman" w:hAnsi="Times New Roman"/>
          <w:color w:val="000000"/>
          <w:sz w:val="28"/>
          <w:szCs w:val="28"/>
          <w:shd w:val="clear" w:color="auto" w:fill="FFFFFF"/>
        </w:rPr>
        <w:t xml:space="preserve">частиною шостою статті 118 Регламенту Верховної Ради України, за якою у разі якщо висновки юридичної експертизи та редакційного опрацювання містять зауваження до законопроекту, підготовленого до другого читання чи повторного другого читання, головний комітет може розглянути на своєму засіданні пропозиції (поправки) членів комітету, підготовлені з урахуванням таких висновків. </w:t>
      </w:r>
    </w:p>
    <w:p w:rsidR="001C75FA" w:rsidRPr="001C75FA" w:rsidRDefault="001C75FA" w:rsidP="001C75FA">
      <w:pPr>
        <w:pStyle w:val="af0"/>
        <w:spacing w:after="120"/>
        <w:ind w:left="0" w:firstLine="709"/>
        <w:contextualSpacing w:val="0"/>
        <w:jc w:val="both"/>
        <w:rPr>
          <w:rFonts w:ascii="Times New Roman" w:hAnsi="Times New Roman"/>
          <w:color w:val="000000"/>
          <w:sz w:val="28"/>
          <w:szCs w:val="28"/>
        </w:rPr>
      </w:pPr>
    </w:p>
    <w:p w:rsidR="001C75FA" w:rsidRPr="001C75FA" w:rsidRDefault="001C75FA" w:rsidP="001C75FA">
      <w:pPr>
        <w:spacing w:after="0" w:line="240" w:lineRule="auto"/>
        <w:ind w:firstLine="709"/>
        <w:rPr>
          <w:rFonts w:ascii="Times New Roman" w:hAnsi="Times New Roman"/>
          <w:b/>
          <w:sz w:val="28"/>
          <w:szCs w:val="28"/>
        </w:rPr>
      </w:pPr>
      <w:r w:rsidRPr="001C75FA">
        <w:rPr>
          <w:rFonts w:ascii="Times New Roman" w:hAnsi="Times New Roman"/>
          <w:b/>
          <w:sz w:val="28"/>
          <w:szCs w:val="28"/>
        </w:rPr>
        <w:t>Заступник керівника</w:t>
      </w:r>
    </w:p>
    <w:p w:rsidR="001C75FA" w:rsidRPr="001C75FA" w:rsidRDefault="001C75FA" w:rsidP="001C75FA">
      <w:pPr>
        <w:spacing w:after="0" w:line="240" w:lineRule="auto"/>
        <w:ind w:firstLine="709"/>
        <w:rPr>
          <w:rFonts w:ascii="Times New Roman" w:hAnsi="Times New Roman"/>
          <w:sz w:val="28"/>
          <w:szCs w:val="28"/>
        </w:rPr>
      </w:pPr>
      <w:r w:rsidRPr="001C75FA">
        <w:rPr>
          <w:rFonts w:ascii="Times New Roman" w:hAnsi="Times New Roman"/>
          <w:b/>
          <w:sz w:val="28"/>
          <w:szCs w:val="28"/>
        </w:rPr>
        <w:t xml:space="preserve">Головного управління </w:t>
      </w:r>
      <w:r w:rsidRPr="001C75FA">
        <w:rPr>
          <w:rFonts w:ascii="Times New Roman" w:hAnsi="Times New Roman"/>
          <w:b/>
          <w:sz w:val="28"/>
          <w:szCs w:val="28"/>
        </w:rPr>
        <w:tab/>
      </w:r>
      <w:r w:rsidRPr="001C75FA">
        <w:rPr>
          <w:rFonts w:ascii="Times New Roman" w:hAnsi="Times New Roman"/>
          <w:b/>
          <w:sz w:val="28"/>
          <w:szCs w:val="28"/>
        </w:rPr>
        <w:tab/>
      </w:r>
      <w:r w:rsidRPr="001C75FA">
        <w:rPr>
          <w:rFonts w:ascii="Times New Roman" w:hAnsi="Times New Roman"/>
          <w:b/>
          <w:sz w:val="28"/>
          <w:szCs w:val="28"/>
        </w:rPr>
        <w:tab/>
      </w:r>
      <w:r w:rsidRPr="001C75FA">
        <w:rPr>
          <w:rFonts w:ascii="Times New Roman" w:hAnsi="Times New Roman"/>
          <w:b/>
          <w:sz w:val="28"/>
          <w:szCs w:val="28"/>
        </w:rPr>
        <w:tab/>
      </w:r>
      <w:r w:rsidRPr="001C75FA">
        <w:rPr>
          <w:rFonts w:ascii="Times New Roman" w:hAnsi="Times New Roman"/>
          <w:b/>
          <w:sz w:val="28"/>
          <w:szCs w:val="28"/>
        </w:rPr>
        <w:tab/>
        <w:t>В. МІЛОВАНОВ</w:t>
      </w:r>
    </w:p>
    <w:p w:rsidR="007167DA" w:rsidRPr="004709E9" w:rsidRDefault="007167DA" w:rsidP="004709E9"/>
    <w:sectPr w:rsidR="007167DA" w:rsidRPr="004709E9" w:rsidSect="00634A7D">
      <w:headerReference w:type="default" r:id="rId8"/>
      <w:headerReference w:type="first" r:id="rId9"/>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79A3" w:rsidRDefault="00C779A3" w:rsidP="005E306B">
      <w:pPr>
        <w:spacing w:after="0" w:line="240" w:lineRule="auto"/>
      </w:pPr>
      <w:r>
        <w:separator/>
      </w:r>
    </w:p>
  </w:endnote>
  <w:endnote w:type="continuationSeparator" w:id="0">
    <w:p w:rsidR="00C779A3" w:rsidRDefault="00C779A3"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79A3" w:rsidRDefault="00C779A3" w:rsidP="005E306B">
      <w:pPr>
        <w:spacing w:after="0" w:line="240" w:lineRule="auto"/>
      </w:pPr>
      <w:r>
        <w:separator/>
      </w:r>
    </w:p>
  </w:footnote>
  <w:footnote w:type="continuationSeparator" w:id="0">
    <w:p w:rsidR="00C779A3" w:rsidRDefault="00C779A3"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824"/>
      <w:docPartObj>
        <w:docPartGallery w:val="Page Numbers (Top of Page)"/>
        <w:docPartUnique/>
      </w:docPartObj>
    </w:sdtPr>
    <w:sdtEndPr/>
    <w:sdtContent>
      <w:p w:rsidR="00853F7D" w:rsidRDefault="00853F7D">
        <w:pPr>
          <w:pStyle w:val="a3"/>
          <w:jc w:val="right"/>
        </w:pPr>
        <w:r>
          <w:fldChar w:fldCharType="begin"/>
        </w:r>
        <w:r>
          <w:instrText>PAGE   \* MERGEFORMAT</w:instrText>
        </w:r>
        <w:r>
          <w:fldChar w:fldCharType="separate"/>
        </w:r>
        <w:r w:rsidR="00D222FE">
          <w:rPr>
            <w:noProof/>
          </w:rPr>
          <w:t>11</w:t>
        </w:r>
        <w:r>
          <w:fldChar w:fldCharType="end"/>
        </w:r>
      </w:p>
    </w:sdtContent>
  </w:sdt>
  <w:p w:rsidR="00140AA7" w:rsidRPr="00140AA7" w:rsidRDefault="00140AA7">
    <w:pPr>
      <w:pStyle w:val="a3"/>
      <w:jc w:val="center"/>
      <w:rPr>
        <w:rFonts w:ascii="Times New Roman" w:hAnsi="Times New Roman"/>
        <w:sz w:val="28"/>
        <w:szCs w:val="2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00C27AE9" w:rsidRPr="00A833C8">
            <w:rPr>
              <w:rFonts w:ascii="Times New Roman" w:hAnsi="Times New Roman"/>
              <w:color w:val="1829A8"/>
              <w:sz w:val="20"/>
              <w:szCs w:val="20"/>
            </w:rPr>
            <w:t xml:space="preserve">1008, м.Київ-8, вул. </w:t>
          </w:r>
          <w:r w:rsidR="00CC39A1" w:rsidRPr="00A833C8">
            <w:rPr>
              <w:rFonts w:ascii="Times New Roman" w:hAnsi="Times New Roman"/>
              <w:color w:val="1829A8"/>
              <w:sz w:val="20"/>
              <w:szCs w:val="20"/>
            </w:rPr>
            <w:t>М. Грушевського,</w:t>
          </w:r>
          <w:r w:rsidR="00C27AE9" w:rsidRPr="00A833C8">
            <w:rPr>
              <w:rFonts w:ascii="Times New Roman" w:hAnsi="Times New Roman"/>
              <w:color w:val="1829A8"/>
              <w:sz w:val="20"/>
              <w:szCs w:val="20"/>
            </w:rPr>
            <w:t xml:space="preserve"> 5, тел.:255-</w:t>
          </w:r>
          <w:r w:rsidR="00F44513">
            <w:rPr>
              <w:rFonts w:ascii="Times New Roman" w:hAnsi="Times New Roman"/>
              <w:color w:val="1829A8"/>
              <w:sz w:val="20"/>
              <w:szCs w:val="20"/>
            </w:rPr>
            <w:t>20</w:t>
          </w:r>
          <w:r w:rsidR="00C27AE9" w:rsidRPr="00A833C8">
            <w:rPr>
              <w:rFonts w:ascii="Times New Roman" w:hAnsi="Times New Roman"/>
              <w:color w:val="1829A8"/>
              <w:sz w:val="20"/>
              <w:szCs w:val="20"/>
            </w:rPr>
            <w:t>-</w:t>
          </w:r>
          <w:r w:rsidR="00F44513">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F51A3"/>
    <w:multiLevelType w:val="hybridMultilevel"/>
    <w:tmpl w:val="E47297DA"/>
    <w:lvl w:ilvl="0" w:tplc="EF287884">
      <w:start w:val="23"/>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0548393B"/>
    <w:multiLevelType w:val="hybridMultilevel"/>
    <w:tmpl w:val="726886AE"/>
    <w:lvl w:ilvl="0" w:tplc="F2680BA0">
      <w:start w:val="3"/>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2" w15:restartNumberingAfterBreak="0">
    <w:nsid w:val="080D094C"/>
    <w:multiLevelType w:val="hybridMultilevel"/>
    <w:tmpl w:val="DF40225A"/>
    <w:lvl w:ilvl="0" w:tplc="A18E338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17140A1C"/>
    <w:multiLevelType w:val="hybridMultilevel"/>
    <w:tmpl w:val="720A7986"/>
    <w:lvl w:ilvl="0" w:tplc="4C84DC0C">
      <w:numFmt w:val="bullet"/>
      <w:lvlText w:val="-"/>
      <w:lvlJc w:val="left"/>
      <w:pPr>
        <w:ind w:left="1069" w:hanging="360"/>
      </w:pPr>
      <w:rPr>
        <w:rFonts w:ascii="Times New Roman" w:eastAsia="Calibr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4" w15:restartNumberingAfterBreak="0">
    <w:nsid w:val="2B534C67"/>
    <w:multiLevelType w:val="hybridMultilevel"/>
    <w:tmpl w:val="3222BE28"/>
    <w:lvl w:ilvl="0" w:tplc="9F921E42">
      <w:start w:val="39"/>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5" w15:restartNumberingAfterBreak="0">
    <w:nsid w:val="36505E0B"/>
    <w:multiLevelType w:val="hybridMultilevel"/>
    <w:tmpl w:val="77081270"/>
    <w:lvl w:ilvl="0" w:tplc="8E7EFEAA">
      <w:start w:val="4"/>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15:restartNumberingAfterBreak="0">
    <w:nsid w:val="3C34639E"/>
    <w:multiLevelType w:val="hybridMultilevel"/>
    <w:tmpl w:val="298C4C16"/>
    <w:lvl w:ilvl="0" w:tplc="1A98808E">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7" w15:restartNumberingAfterBreak="0">
    <w:nsid w:val="3E993FA7"/>
    <w:multiLevelType w:val="hybridMultilevel"/>
    <w:tmpl w:val="490EFEB4"/>
    <w:lvl w:ilvl="0" w:tplc="F188A6C4">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8" w15:restartNumberingAfterBreak="0">
    <w:nsid w:val="432C38BF"/>
    <w:multiLevelType w:val="hybridMultilevel"/>
    <w:tmpl w:val="26841A6E"/>
    <w:lvl w:ilvl="0" w:tplc="499A2228">
      <w:start w:val="1"/>
      <w:numFmt w:val="decimal"/>
      <w:lvlText w:val="%1."/>
      <w:lvlJc w:val="left"/>
      <w:pPr>
        <w:ind w:left="1069" w:hanging="360"/>
      </w:pPr>
      <w:rPr>
        <w:rFonts w:cstheme="minorBidi"/>
        <w:b w:val="0"/>
        <w:color w:val="auto"/>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9" w15:restartNumberingAfterBreak="0">
    <w:nsid w:val="473B77DB"/>
    <w:multiLevelType w:val="hybridMultilevel"/>
    <w:tmpl w:val="6F080D82"/>
    <w:lvl w:ilvl="0" w:tplc="4DE0E194">
      <w:start w:val="39"/>
      <w:numFmt w:val="decimal"/>
      <w:lvlText w:val="%1."/>
      <w:lvlJc w:val="left"/>
      <w:pPr>
        <w:ind w:left="1429" w:hanging="360"/>
      </w:pPr>
      <w:rPr>
        <w:rFonts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0" w15:restartNumberingAfterBreak="0">
    <w:nsid w:val="4B792275"/>
    <w:multiLevelType w:val="hybridMultilevel"/>
    <w:tmpl w:val="1200C85C"/>
    <w:lvl w:ilvl="0" w:tplc="880A49B4">
      <w:start w:val="10"/>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1" w15:restartNumberingAfterBreak="0">
    <w:nsid w:val="5C131275"/>
    <w:multiLevelType w:val="hybridMultilevel"/>
    <w:tmpl w:val="32241CF0"/>
    <w:lvl w:ilvl="0" w:tplc="E050FAB8">
      <w:start w:val="3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2" w15:restartNumberingAfterBreak="0">
    <w:nsid w:val="66547A30"/>
    <w:multiLevelType w:val="hybridMultilevel"/>
    <w:tmpl w:val="93FE229A"/>
    <w:lvl w:ilvl="0" w:tplc="623E5628">
      <w:start w:val="7"/>
      <w:numFmt w:val="bullet"/>
      <w:lvlText w:val="–"/>
      <w:lvlJc w:val="left"/>
      <w:pPr>
        <w:ind w:left="928" w:hanging="360"/>
      </w:pPr>
      <w:rPr>
        <w:rFonts w:ascii="Times New Roman" w:eastAsia="Times New Roman" w:hAnsi="Times New Roman" w:cs="Times New Roman" w:hint="default"/>
      </w:rPr>
    </w:lvl>
    <w:lvl w:ilvl="1" w:tplc="04220003" w:tentative="1">
      <w:start w:val="1"/>
      <w:numFmt w:val="bullet"/>
      <w:lvlText w:val="o"/>
      <w:lvlJc w:val="left"/>
      <w:pPr>
        <w:ind w:left="1648" w:hanging="360"/>
      </w:pPr>
      <w:rPr>
        <w:rFonts w:ascii="Courier New" w:hAnsi="Courier New" w:cs="Courier New" w:hint="default"/>
      </w:rPr>
    </w:lvl>
    <w:lvl w:ilvl="2" w:tplc="04220005" w:tentative="1">
      <w:start w:val="1"/>
      <w:numFmt w:val="bullet"/>
      <w:lvlText w:val=""/>
      <w:lvlJc w:val="left"/>
      <w:pPr>
        <w:ind w:left="2368" w:hanging="360"/>
      </w:pPr>
      <w:rPr>
        <w:rFonts w:ascii="Wingdings" w:hAnsi="Wingdings" w:hint="default"/>
      </w:rPr>
    </w:lvl>
    <w:lvl w:ilvl="3" w:tplc="04220001" w:tentative="1">
      <w:start w:val="1"/>
      <w:numFmt w:val="bullet"/>
      <w:lvlText w:val=""/>
      <w:lvlJc w:val="left"/>
      <w:pPr>
        <w:ind w:left="3088" w:hanging="360"/>
      </w:pPr>
      <w:rPr>
        <w:rFonts w:ascii="Symbol" w:hAnsi="Symbol" w:hint="default"/>
      </w:rPr>
    </w:lvl>
    <w:lvl w:ilvl="4" w:tplc="04220003" w:tentative="1">
      <w:start w:val="1"/>
      <w:numFmt w:val="bullet"/>
      <w:lvlText w:val="o"/>
      <w:lvlJc w:val="left"/>
      <w:pPr>
        <w:ind w:left="3808" w:hanging="360"/>
      </w:pPr>
      <w:rPr>
        <w:rFonts w:ascii="Courier New" w:hAnsi="Courier New" w:cs="Courier New" w:hint="default"/>
      </w:rPr>
    </w:lvl>
    <w:lvl w:ilvl="5" w:tplc="04220005" w:tentative="1">
      <w:start w:val="1"/>
      <w:numFmt w:val="bullet"/>
      <w:lvlText w:val=""/>
      <w:lvlJc w:val="left"/>
      <w:pPr>
        <w:ind w:left="4528" w:hanging="360"/>
      </w:pPr>
      <w:rPr>
        <w:rFonts w:ascii="Wingdings" w:hAnsi="Wingdings" w:hint="default"/>
      </w:rPr>
    </w:lvl>
    <w:lvl w:ilvl="6" w:tplc="04220001" w:tentative="1">
      <w:start w:val="1"/>
      <w:numFmt w:val="bullet"/>
      <w:lvlText w:val=""/>
      <w:lvlJc w:val="left"/>
      <w:pPr>
        <w:ind w:left="5248" w:hanging="360"/>
      </w:pPr>
      <w:rPr>
        <w:rFonts w:ascii="Symbol" w:hAnsi="Symbol" w:hint="default"/>
      </w:rPr>
    </w:lvl>
    <w:lvl w:ilvl="7" w:tplc="04220003" w:tentative="1">
      <w:start w:val="1"/>
      <w:numFmt w:val="bullet"/>
      <w:lvlText w:val="o"/>
      <w:lvlJc w:val="left"/>
      <w:pPr>
        <w:ind w:left="5968" w:hanging="360"/>
      </w:pPr>
      <w:rPr>
        <w:rFonts w:ascii="Courier New" w:hAnsi="Courier New" w:cs="Courier New" w:hint="default"/>
      </w:rPr>
    </w:lvl>
    <w:lvl w:ilvl="8" w:tplc="04220005" w:tentative="1">
      <w:start w:val="1"/>
      <w:numFmt w:val="bullet"/>
      <w:lvlText w:val=""/>
      <w:lvlJc w:val="left"/>
      <w:pPr>
        <w:ind w:left="6688" w:hanging="360"/>
      </w:pPr>
      <w:rPr>
        <w:rFonts w:ascii="Wingdings" w:hAnsi="Wingdings" w:hint="default"/>
      </w:rPr>
    </w:lvl>
  </w:abstractNum>
  <w:abstractNum w:abstractNumId="13" w15:restartNumberingAfterBreak="0">
    <w:nsid w:val="67CB1F5E"/>
    <w:multiLevelType w:val="hybridMultilevel"/>
    <w:tmpl w:val="7FFA0EF2"/>
    <w:lvl w:ilvl="0" w:tplc="F07A042C">
      <w:start w:val="29"/>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14" w15:restartNumberingAfterBreak="0">
    <w:nsid w:val="69006F94"/>
    <w:multiLevelType w:val="hybridMultilevel"/>
    <w:tmpl w:val="B5E0C66A"/>
    <w:lvl w:ilvl="0" w:tplc="346436B2">
      <w:start w:val="37"/>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5" w15:restartNumberingAfterBreak="0">
    <w:nsid w:val="7179001A"/>
    <w:multiLevelType w:val="hybridMultilevel"/>
    <w:tmpl w:val="3DB0EAE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759D5EEA"/>
    <w:multiLevelType w:val="hybridMultilevel"/>
    <w:tmpl w:val="E9CCCFCE"/>
    <w:lvl w:ilvl="0" w:tplc="02CE16A4">
      <w:start w:val="29"/>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7" w15:restartNumberingAfterBreak="0">
    <w:nsid w:val="75F50AA4"/>
    <w:multiLevelType w:val="hybridMultilevel"/>
    <w:tmpl w:val="A0600512"/>
    <w:lvl w:ilvl="0" w:tplc="B21C48FE">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num w:numId="1">
    <w:abstractNumId w:val="7"/>
  </w:num>
  <w:num w:numId="2">
    <w:abstractNumId w:val="6"/>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2"/>
  </w:num>
  <w:num w:numId="6">
    <w:abstractNumId w:val="17"/>
  </w:num>
  <w:num w:numId="7">
    <w:abstractNumId w:val="15"/>
  </w:num>
  <w:num w:numId="8">
    <w:abstractNumId w:val="0"/>
  </w:num>
  <w:num w:numId="9">
    <w:abstractNumId w:val="11"/>
  </w:num>
  <w:num w:numId="10">
    <w:abstractNumId w:val="16"/>
  </w:num>
  <w:num w:numId="11">
    <w:abstractNumId w:val="13"/>
  </w:num>
  <w:num w:numId="12">
    <w:abstractNumId w:val="14"/>
  </w:num>
  <w:num w:numId="13">
    <w:abstractNumId w:val="4"/>
  </w:num>
  <w:num w:numId="14">
    <w:abstractNumId w:val="9"/>
  </w:num>
  <w:num w:numId="15">
    <w:abstractNumId w:val="5"/>
  </w:num>
  <w:num w:numId="16">
    <w:abstractNumId w:val="12"/>
  </w:num>
  <w:num w:numId="17">
    <w:abstractNumId w:val="10"/>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085E"/>
    <w:rsid w:val="000163C3"/>
    <w:rsid w:val="0003690C"/>
    <w:rsid w:val="00043243"/>
    <w:rsid w:val="00080B66"/>
    <w:rsid w:val="0009379A"/>
    <w:rsid w:val="000B6CE8"/>
    <w:rsid w:val="000D4422"/>
    <w:rsid w:val="000F1586"/>
    <w:rsid w:val="00113853"/>
    <w:rsid w:val="00134D95"/>
    <w:rsid w:val="00140AA7"/>
    <w:rsid w:val="00141617"/>
    <w:rsid w:val="00182432"/>
    <w:rsid w:val="0019108F"/>
    <w:rsid w:val="001966F0"/>
    <w:rsid w:val="001A356B"/>
    <w:rsid w:val="001C3AD6"/>
    <w:rsid w:val="001C75FA"/>
    <w:rsid w:val="001D1645"/>
    <w:rsid w:val="001D1C39"/>
    <w:rsid w:val="001D3C24"/>
    <w:rsid w:val="001E2813"/>
    <w:rsid w:val="00204E8D"/>
    <w:rsid w:val="00235CD7"/>
    <w:rsid w:val="002A5D4C"/>
    <w:rsid w:val="002B5FC1"/>
    <w:rsid w:val="002D0561"/>
    <w:rsid w:val="002E0A18"/>
    <w:rsid w:val="002E31BF"/>
    <w:rsid w:val="002E44DA"/>
    <w:rsid w:val="002F4311"/>
    <w:rsid w:val="00300A15"/>
    <w:rsid w:val="00311B04"/>
    <w:rsid w:val="0034240E"/>
    <w:rsid w:val="003607EE"/>
    <w:rsid w:val="00375A99"/>
    <w:rsid w:val="003A280F"/>
    <w:rsid w:val="003A5DE5"/>
    <w:rsid w:val="003C5FA9"/>
    <w:rsid w:val="003D1CBA"/>
    <w:rsid w:val="003E5F4E"/>
    <w:rsid w:val="003E6989"/>
    <w:rsid w:val="00422A73"/>
    <w:rsid w:val="00451750"/>
    <w:rsid w:val="00453E79"/>
    <w:rsid w:val="004709E9"/>
    <w:rsid w:val="00492C8A"/>
    <w:rsid w:val="004948A3"/>
    <w:rsid w:val="004A7D02"/>
    <w:rsid w:val="004B48FD"/>
    <w:rsid w:val="004B67B7"/>
    <w:rsid w:val="004B7180"/>
    <w:rsid w:val="004C6087"/>
    <w:rsid w:val="004E0C67"/>
    <w:rsid w:val="004E4F5C"/>
    <w:rsid w:val="004E652D"/>
    <w:rsid w:val="004F4461"/>
    <w:rsid w:val="004F7B8A"/>
    <w:rsid w:val="0050620F"/>
    <w:rsid w:val="00531B76"/>
    <w:rsid w:val="0055005A"/>
    <w:rsid w:val="00554FE5"/>
    <w:rsid w:val="0056352F"/>
    <w:rsid w:val="005A2451"/>
    <w:rsid w:val="005A4728"/>
    <w:rsid w:val="005B71F5"/>
    <w:rsid w:val="005C688A"/>
    <w:rsid w:val="005D0742"/>
    <w:rsid w:val="005E306B"/>
    <w:rsid w:val="005E4082"/>
    <w:rsid w:val="005F20B5"/>
    <w:rsid w:val="00617178"/>
    <w:rsid w:val="006240F0"/>
    <w:rsid w:val="00626A3E"/>
    <w:rsid w:val="00634A7D"/>
    <w:rsid w:val="00641B97"/>
    <w:rsid w:val="00662042"/>
    <w:rsid w:val="0066623D"/>
    <w:rsid w:val="006A6BA6"/>
    <w:rsid w:val="006C7A99"/>
    <w:rsid w:val="006F10E8"/>
    <w:rsid w:val="006F186F"/>
    <w:rsid w:val="00713E93"/>
    <w:rsid w:val="007167DA"/>
    <w:rsid w:val="0073224C"/>
    <w:rsid w:val="0073657E"/>
    <w:rsid w:val="007370CD"/>
    <w:rsid w:val="00751BF1"/>
    <w:rsid w:val="007729E4"/>
    <w:rsid w:val="007B061D"/>
    <w:rsid w:val="007B48EC"/>
    <w:rsid w:val="007D0726"/>
    <w:rsid w:val="007D77AC"/>
    <w:rsid w:val="007F5D91"/>
    <w:rsid w:val="008041AC"/>
    <w:rsid w:val="0080545D"/>
    <w:rsid w:val="00811E1E"/>
    <w:rsid w:val="008208AF"/>
    <w:rsid w:val="00853F7D"/>
    <w:rsid w:val="00883F82"/>
    <w:rsid w:val="009205C1"/>
    <w:rsid w:val="00944594"/>
    <w:rsid w:val="00945B68"/>
    <w:rsid w:val="00957D31"/>
    <w:rsid w:val="009856BA"/>
    <w:rsid w:val="009908C1"/>
    <w:rsid w:val="009A720A"/>
    <w:rsid w:val="009C0077"/>
    <w:rsid w:val="009C2341"/>
    <w:rsid w:val="009C75A2"/>
    <w:rsid w:val="00A00059"/>
    <w:rsid w:val="00A074FC"/>
    <w:rsid w:val="00A14D8E"/>
    <w:rsid w:val="00A301F3"/>
    <w:rsid w:val="00A55970"/>
    <w:rsid w:val="00A833C8"/>
    <w:rsid w:val="00A909D2"/>
    <w:rsid w:val="00AD7F82"/>
    <w:rsid w:val="00AE072F"/>
    <w:rsid w:val="00B569E4"/>
    <w:rsid w:val="00B57ED1"/>
    <w:rsid w:val="00B70394"/>
    <w:rsid w:val="00BD0801"/>
    <w:rsid w:val="00BE47D0"/>
    <w:rsid w:val="00BE70CC"/>
    <w:rsid w:val="00BF1E95"/>
    <w:rsid w:val="00C11FB6"/>
    <w:rsid w:val="00C27AE9"/>
    <w:rsid w:val="00C60F8F"/>
    <w:rsid w:val="00C779A3"/>
    <w:rsid w:val="00CC39A1"/>
    <w:rsid w:val="00CD4A38"/>
    <w:rsid w:val="00CE3E1B"/>
    <w:rsid w:val="00CE6A4B"/>
    <w:rsid w:val="00D059F4"/>
    <w:rsid w:val="00D222FE"/>
    <w:rsid w:val="00D242C2"/>
    <w:rsid w:val="00D34CD4"/>
    <w:rsid w:val="00D3575A"/>
    <w:rsid w:val="00D423C8"/>
    <w:rsid w:val="00D468B9"/>
    <w:rsid w:val="00D57E1B"/>
    <w:rsid w:val="00DD6C75"/>
    <w:rsid w:val="00E20422"/>
    <w:rsid w:val="00E221CE"/>
    <w:rsid w:val="00E33A51"/>
    <w:rsid w:val="00E50354"/>
    <w:rsid w:val="00E539DD"/>
    <w:rsid w:val="00E6247F"/>
    <w:rsid w:val="00E821B7"/>
    <w:rsid w:val="00E91621"/>
    <w:rsid w:val="00EA12FD"/>
    <w:rsid w:val="00F01A33"/>
    <w:rsid w:val="00F44513"/>
    <w:rsid w:val="00F45803"/>
    <w:rsid w:val="00F55423"/>
    <w:rsid w:val="00F6174E"/>
    <w:rsid w:val="00F73A2B"/>
    <w:rsid w:val="00F91DD3"/>
    <w:rsid w:val="00FA4893"/>
    <w:rsid w:val="00FC3DF4"/>
    <w:rsid w:val="00FE10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B3D8296"/>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paragraph" w:styleId="3">
    <w:name w:val="heading 3"/>
    <w:basedOn w:val="a"/>
    <w:next w:val="a"/>
    <w:link w:val="30"/>
    <w:semiHidden/>
    <w:unhideWhenUsed/>
    <w:qFormat/>
    <w:locked/>
    <w:rsid w:val="00641B97"/>
    <w:pPr>
      <w:keepNext/>
      <w:spacing w:before="240" w:after="60" w:line="360" w:lineRule="auto"/>
      <w:ind w:firstLine="709"/>
      <w:jc w:val="both"/>
      <w:outlineLvl w:val="2"/>
    </w:pPr>
    <w:rPr>
      <w:rFonts w:ascii="Arial" w:eastAsia="Times New Roman" w:hAnsi="Arial" w:cs="Arial"/>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paragraph" w:customStyle="1" w:styleId="StyleZakonu">
    <w:name w:val="StyleZakonu"/>
    <w:basedOn w:val="a"/>
    <w:link w:val="StyleZakonu0"/>
    <w:uiPriority w:val="99"/>
    <w:rsid w:val="007167DA"/>
    <w:pPr>
      <w:spacing w:after="60" w:line="220" w:lineRule="exact"/>
      <w:ind w:firstLine="284"/>
      <w:jc w:val="both"/>
    </w:pPr>
    <w:rPr>
      <w:rFonts w:ascii="Times New Roman" w:eastAsia="Times New Roman" w:hAnsi="Times New Roman"/>
      <w:sz w:val="20"/>
      <w:szCs w:val="20"/>
      <w:lang w:eastAsia="ru-RU"/>
    </w:rPr>
  </w:style>
  <w:style w:type="paragraph" w:customStyle="1" w:styleId="Igor">
    <w:name w:val="Igor"/>
    <w:basedOn w:val="a"/>
    <w:autoRedefine/>
    <w:rsid w:val="007167DA"/>
    <w:pPr>
      <w:spacing w:before="120" w:after="120" w:line="240" w:lineRule="auto"/>
      <w:ind w:firstLine="709"/>
      <w:jc w:val="both"/>
    </w:pPr>
    <w:rPr>
      <w:rFonts w:ascii="Times New Roman" w:eastAsia="Times New Roman" w:hAnsi="Times New Roman"/>
      <w:sz w:val="28"/>
      <w:szCs w:val="28"/>
      <w:lang w:eastAsia="ru-RU"/>
    </w:rPr>
  </w:style>
  <w:style w:type="character" w:customStyle="1" w:styleId="st42">
    <w:name w:val="st42"/>
    <w:uiPriority w:val="99"/>
    <w:rsid w:val="007167DA"/>
    <w:rPr>
      <w:rFonts w:ascii="Times New Roman" w:hAnsi="Times New Roman" w:cs="Times New Roman"/>
      <w:color w:val="000000"/>
    </w:rPr>
  </w:style>
  <w:style w:type="character" w:customStyle="1" w:styleId="StyleZakonu0">
    <w:name w:val="StyleZakonu Знак"/>
    <w:link w:val="StyleZakonu"/>
    <w:uiPriority w:val="99"/>
    <w:locked/>
    <w:rsid w:val="007167DA"/>
    <w:rPr>
      <w:rFonts w:ascii="Times New Roman" w:eastAsia="Times New Roman" w:hAnsi="Times New Roman"/>
      <w:sz w:val="20"/>
      <w:szCs w:val="20"/>
      <w:lang w:val="uk-UA" w:eastAsia="ru-RU"/>
    </w:rPr>
  </w:style>
  <w:style w:type="paragraph" w:customStyle="1" w:styleId="rvps2">
    <w:name w:val="rvps2"/>
    <w:basedOn w:val="a"/>
    <w:rsid w:val="007167DA"/>
    <w:pPr>
      <w:spacing w:before="100" w:beforeAutospacing="1" w:after="100" w:afterAutospacing="1" w:line="240" w:lineRule="auto"/>
    </w:pPr>
    <w:rPr>
      <w:rFonts w:ascii="Times New Roman" w:eastAsia="Times New Roman" w:hAnsi="Times New Roman"/>
      <w:sz w:val="24"/>
      <w:szCs w:val="24"/>
      <w:lang w:eastAsia="uk-UA"/>
    </w:rPr>
  </w:style>
  <w:style w:type="paragraph" w:styleId="af0">
    <w:name w:val="List Paragraph"/>
    <w:basedOn w:val="a"/>
    <w:uiPriority w:val="34"/>
    <w:qFormat/>
    <w:rsid w:val="00D423C8"/>
    <w:pPr>
      <w:ind w:left="720"/>
      <w:contextualSpacing/>
    </w:pPr>
  </w:style>
  <w:style w:type="character" w:customStyle="1" w:styleId="CharStyle12">
    <w:name w:val="Char Style 12"/>
    <w:link w:val="Style2"/>
    <w:locked/>
    <w:rsid w:val="00311B04"/>
    <w:rPr>
      <w:sz w:val="27"/>
      <w:shd w:val="clear" w:color="auto" w:fill="FFFFFF"/>
    </w:rPr>
  </w:style>
  <w:style w:type="paragraph" w:customStyle="1" w:styleId="Style2">
    <w:name w:val="Style 2"/>
    <w:basedOn w:val="a"/>
    <w:link w:val="CharStyle12"/>
    <w:rsid w:val="00311B04"/>
    <w:pPr>
      <w:widowControl w:val="0"/>
      <w:shd w:val="clear" w:color="auto" w:fill="FFFFFF"/>
      <w:spacing w:before="180" w:after="60" w:line="319" w:lineRule="exact"/>
      <w:jc w:val="both"/>
    </w:pPr>
    <w:rPr>
      <w:sz w:val="27"/>
      <w:lang w:val="en-US"/>
    </w:rPr>
  </w:style>
  <w:style w:type="character" w:customStyle="1" w:styleId="rvts44">
    <w:name w:val="rvts44"/>
    <w:basedOn w:val="a0"/>
    <w:rsid w:val="00617178"/>
  </w:style>
  <w:style w:type="character" w:customStyle="1" w:styleId="st24">
    <w:name w:val="st24"/>
    <w:uiPriority w:val="99"/>
    <w:rsid w:val="006A6BA6"/>
    <w:rPr>
      <w:rFonts w:ascii="Times New Roman" w:hAnsi="Times New Roman" w:cs="Times New Roman" w:hint="default"/>
      <w:b/>
      <w:bCs/>
      <w:color w:val="000000"/>
      <w:sz w:val="32"/>
      <w:szCs w:val="32"/>
    </w:rPr>
  </w:style>
  <w:style w:type="character" w:customStyle="1" w:styleId="30">
    <w:name w:val="Заголовок 3 Знак"/>
    <w:basedOn w:val="a0"/>
    <w:link w:val="3"/>
    <w:semiHidden/>
    <w:rsid w:val="00641B97"/>
    <w:rPr>
      <w:rFonts w:ascii="Arial" w:eastAsia="Times New Roman" w:hAnsi="Arial" w:cs="Arial"/>
      <w:b/>
      <w:bCs/>
      <w:sz w:val="26"/>
      <w:szCs w:val="26"/>
      <w:lang w:val="uk-UA" w:eastAsia="ru-RU"/>
    </w:rPr>
  </w:style>
  <w:style w:type="paragraph" w:styleId="af1">
    <w:name w:val="Normal (Web)"/>
    <w:basedOn w:val="a"/>
    <w:semiHidden/>
    <w:unhideWhenUsed/>
    <w:rsid w:val="00641B97"/>
    <w:pPr>
      <w:spacing w:before="100" w:beforeAutospacing="1" w:after="100" w:afterAutospacing="1" w:line="240" w:lineRule="auto"/>
    </w:pPr>
    <w:rPr>
      <w:rFonts w:ascii="Times New Roman" w:eastAsia="Times New Roman" w:hAnsi="Times New Roman"/>
      <w:color w:val="000000"/>
      <w:sz w:val="24"/>
      <w:szCs w:val="24"/>
      <w:lang w:val="ru-RU" w:eastAsia="ru-RU"/>
    </w:rPr>
  </w:style>
  <w:style w:type="character" w:customStyle="1" w:styleId="st101">
    <w:name w:val="st101"/>
    <w:uiPriority w:val="99"/>
    <w:rsid w:val="00641B97"/>
    <w:rPr>
      <w:rFonts w:ascii="Times New Roman" w:hAnsi="Times New Roman" w:cs="Times New Roman" w:hint="default"/>
      <w:b/>
      <w:bCs/>
      <w:color w:val="000000"/>
    </w:rPr>
  </w:style>
  <w:style w:type="paragraph" w:styleId="2">
    <w:name w:val="Body Text 2"/>
    <w:basedOn w:val="a"/>
    <w:link w:val="20"/>
    <w:unhideWhenUsed/>
    <w:rsid w:val="00422A73"/>
    <w:pPr>
      <w:spacing w:after="120" w:line="480" w:lineRule="auto"/>
    </w:pPr>
  </w:style>
  <w:style w:type="character" w:customStyle="1" w:styleId="20">
    <w:name w:val="Основний текст 2 Знак"/>
    <w:basedOn w:val="a0"/>
    <w:link w:val="2"/>
    <w:rsid w:val="00422A73"/>
    <w:rPr>
      <w:lang w:val="uk-UA"/>
    </w:rPr>
  </w:style>
  <w:style w:type="paragraph" w:customStyle="1" w:styleId="ParagraphStyle">
    <w:name w:val="Paragraph Style"/>
    <w:rsid w:val="00422A73"/>
    <w:pPr>
      <w:autoSpaceDE w:val="0"/>
      <w:autoSpaceDN w:val="0"/>
      <w:adjustRightInd w:val="0"/>
    </w:pPr>
    <w:rPr>
      <w:rFonts w:ascii="Courier New" w:eastAsiaTheme="minorHAnsi" w:hAnsi="Courier New" w:cs="Courier New"/>
      <w:sz w:val="24"/>
      <w:szCs w:val="24"/>
      <w:lang w:val="ru-RU"/>
    </w:rPr>
  </w:style>
  <w:style w:type="character" w:customStyle="1" w:styleId="FontStyle">
    <w:name w:val="Font Style"/>
    <w:uiPriority w:val="99"/>
    <w:rsid w:val="00422A73"/>
    <w:rPr>
      <w:color w:val="000000"/>
      <w:sz w:val="20"/>
      <w:szCs w:val="20"/>
    </w:rPr>
  </w:style>
  <w:style w:type="paragraph" w:customStyle="1" w:styleId="st2">
    <w:name w:val="st2"/>
    <w:uiPriority w:val="99"/>
    <w:rsid w:val="00422A73"/>
    <w:pPr>
      <w:autoSpaceDE w:val="0"/>
      <w:autoSpaceDN w:val="0"/>
      <w:adjustRightInd w:val="0"/>
      <w:spacing w:after="150"/>
      <w:ind w:firstLine="450"/>
      <w:jc w:val="both"/>
    </w:pPr>
    <w:rPr>
      <w:rFonts w:ascii="Courier New" w:eastAsiaTheme="minorHAnsi" w:hAnsi="Courier New" w:cs="Courier New"/>
      <w:sz w:val="24"/>
      <w:szCs w:val="24"/>
      <w:lang w:val="ru-RU"/>
    </w:rPr>
  </w:style>
  <w:style w:type="character" w:customStyle="1" w:styleId="st96">
    <w:name w:val="st96"/>
    <w:uiPriority w:val="99"/>
    <w:rsid w:val="00422A73"/>
    <w:rPr>
      <w:rFonts w:ascii="Times New Roman" w:hAnsi="Times New Roman" w:cs="Times New Roman"/>
      <w:color w:val="0000FF"/>
    </w:rPr>
  </w:style>
  <w:style w:type="character" w:customStyle="1" w:styleId="rvts0">
    <w:name w:val="rvts0"/>
    <w:basedOn w:val="a0"/>
    <w:rsid w:val="00422A73"/>
  </w:style>
  <w:style w:type="character" w:styleId="af2">
    <w:name w:val="Hyperlink"/>
    <w:uiPriority w:val="99"/>
    <w:semiHidden/>
    <w:unhideWhenUsed/>
    <w:rsid w:val="00422A73"/>
    <w:rPr>
      <w:color w:val="0000FF"/>
      <w:u w:val="single"/>
    </w:rPr>
  </w:style>
  <w:style w:type="paragraph" w:styleId="af3">
    <w:name w:val="No Spacing"/>
    <w:uiPriority w:val="1"/>
    <w:qFormat/>
    <w:rsid w:val="00422A73"/>
    <w:rPr>
      <w:rFonts w:ascii="Times New Roman" w:eastAsia="Times New Roman" w:hAnsi="Times New Roman"/>
      <w:sz w:val="28"/>
      <w:lang w:val="ru-RU"/>
    </w:rPr>
  </w:style>
  <w:style w:type="paragraph" w:customStyle="1" w:styleId="st0">
    <w:name w:val="st0"/>
    <w:rsid w:val="00422A73"/>
    <w:pPr>
      <w:autoSpaceDE w:val="0"/>
      <w:autoSpaceDN w:val="0"/>
      <w:adjustRightInd w:val="0"/>
      <w:spacing w:after="150"/>
      <w:ind w:left="450"/>
      <w:jc w:val="both"/>
    </w:pPr>
    <w:rPr>
      <w:rFonts w:ascii="Courier New" w:eastAsiaTheme="minorHAnsi" w:hAnsi="Courier New" w:cs="Courier New"/>
      <w:sz w:val="24"/>
      <w:szCs w:val="24"/>
      <w:lang w:val="ru-RU"/>
    </w:rPr>
  </w:style>
  <w:style w:type="character" w:customStyle="1" w:styleId="st44">
    <w:name w:val="st44"/>
    <w:uiPriority w:val="99"/>
    <w:rsid w:val="00422A73"/>
    <w:rPr>
      <w:rFonts w:ascii="Times New Roman" w:hAnsi="Times New Roman" w:cs="Times New Roman"/>
      <w:b/>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601296">
      <w:bodyDiv w:val="1"/>
      <w:marLeft w:val="0"/>
      <w:marRight w:val="0"/>
      <w:marTop w:val="0"/>
      <w:marBottom w:val="0"/>
      <w:divBdr>
        <w:top w:val="none" w:sz="0" w:space="0" w:color="auto"/>
        <w:left w:val="none" w:sz="0" w:space="0" w:color="auto"/>
        <w:bottom w:val="none" w:sz="0" w:space="0" w:color="auto"/>
        <w:right w:val="none" w:sz="0" w:space="0" w:color="auto"/>
      </w:divBdr>
    </w:div>
    <w:div w:id="83187787">
      <w:bodyDiv w:val="1"/>
      <w:marLeft w:val="0"/>
      <w:marRight w:val="0"/>
      <w:marTop w:val="0"/>
      <w:marBottom w:val="0"/>
      <w:divBdr>
        <w:top w:val="none" w:sz="0" w:space="0" w:color="auto"/>
        <w:left w:val="none" w:sz="0" w:space="0" w:color="auto"/>
        <w:bottom w:val="none" w:sz="0" w:space="0" w:color="auto"/>
        <w:right w:val="none" w:sz="0" w:space="0" w:color="auto"/>
      </w:divBdr>
    </w:div>
    <w:div w:id="526259872">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 w:id="2055931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D0F808-40AB-4A13-8BAD-2AD496388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11</Pages>
  <Words>16661</Words>
  <Characters>9498</Characters>
  <Application>Microsoft Office Word</Application>
  <DocSecurity>0</DocSecurity>
  <Lines>79</Lines>
  <Paragraphs>52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Радченко Олег Вікторович</cp:lastModifiedBy>
  <cp:revision>8</cp:revision>
  <cp:lastPrinted>2020-06-17T08:10:00Z</cp:lastPrinted>
  <dcterms:created xsi:type="dcterms:W3CDTF">2020-06-25T09:52:00Z</dcterms:created>
  <dcterms:modified xsi:type="dcterms:W3CDTF">2020-07-01T09:12:00Z</dcterms:modified>
</cp:coreProperties>
</file>