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14A" w:rsidRDefault="004F314A">
      <w:pPr>
        <w:jc w:val="right"/>
        <w:rPr>
          <w:sz w:val="20"/>
          <w:szCs w:val="20"/>
        </w:rPr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Pr="002D084C" w:rsidRDefault="004F314A">
      <w:pPr>
        <w:jc w:val="right"/>
      </w:pPr>
    </w:p>
    <w:p w:rsidR="004F314A" w:rsidRDefault="004F314A">
      <w:pPr>
        <w:jc w:val="right"/>
      </w:pPr>
    </w:p>
    <w:p w:rsidR="004F314A" w:rsidRDefault="00B50478" w:rsidP="002D084C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cs="Times New Roman"/>
          <w:sz w:val="28"/>
          <w:szCs w:val="28"/>
        </w:rPr>
        <w:t>ВИСНОВОК</w:t>
      </w:r>
    </w:p>
    <w:p w:rsidR="004F314A" w:rsidRDefault="00B50478">
      <w:pPr>
        <w:widowControl w:val="0"/>
        <w:suppressAutoHyphens/>
        <w:jc w:val="center"/>
      </w:pPr>
      <w:r>
        <w:rPr>
          <w:rStyle w:val="a3"/>
          <w:rFonts w:cs="Times New Roman"/>
          <w:sz w:val="28"/>
          <w:szCs w:val="28"/>
        </w:rPr>
        <w:t xml:space="preserve">на проект Закону України </w:t>
      </w:r>
      <w:bookmarkStart w:id="0" w:name="o5"/>
      <w:bookmarkStart w:id="1" w:name="o3"/>
      <w:bookmarkEnd w:id="0"/>
      <w:bookmarkEnd w:id="1"/>
      <w:r>
        <w:rPr>
          <w:rStyle w:val="a3"/>
          <w:rFonts w:cs="Times New Roman"/>
          <w:sz w:val="28"/>
          <w:szCs w:val="28"/>
        </w:rPr>
        <w:t>«</w:t>
      </w:r>
      <w:r>
        <w:rPr>
          <w:b/>
          <w:bCs/>
          <w:color w:val="000000"/>
          <w:kern w:val="2"/>
          <w:lang w:eastAsia="ja-JP"/>
        </w:rPr>
        <w:t xml:space="preserve">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використання вітчизняної </w:t>
      </w:r>
      <w:r>
        <w:rPr>
          <w:b/>
          <w:bCs/>
          <w:color w:val="000000"/>
          <w:kern w:val="2"/>
          <w:lang w:eastAsia="ja-JP"/>
        </w:rPr>
        <w:t>сировини</w:t>
      </w:r>
      <w:r>
        <w:rPr>
          <w:rStyle w:val="a3"/>
          <w:rFonts w:cs="Times New Roman"/>
          <w:sz w:val="28"/>
          <w:szCs w:val="28"/>
        </w:rPr>
        <w:t>»</w:t>
      </w:r>
    </w:p>
    <w:p w:rsidR="004F314A" w:rsidRDefault="004F314A">
      <w:pPr>
        <w:widowControl w:val="0"/>
        <w:suppressAutoHyphens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4F314A" w:rsidRDefault="00B50478">
      <w:pPr>
        <w:widowControl w:val="0"/>
        <w:suppressAutoHyphens/>
        <w:ind w:firstLine="709"/>
        <w:jc w:val="both"/>
      </w:pPr>
      <w:r>
        <w:t xml:space="preserve">У законопроекті шляхом внесення змін до Закону України </w:t>
      </w:r>
      <w:r>
        <w:br/>
      </w:r>
      <w:r>
        <w:rPr>
          <w:color w:val="000000"/>
          <w:kern w:val="2"/>
          <w:lang w:eastAsia="ja-JP"/>
        </w:rPr>
        <w:t>«Про державне регулювання виробництва і обігу спирту етилового, коньячного і плодового, алкогольних напоїв, тютюнових виробів та пального» (далі – Закон) пропонується:</w:t>
      </w:r>
    </w:p>
    <w:p w:rsidR="004F314A" w:rsidRDefault="00B50478">
      <w:pPr>
        <w:widowControl w:val="0"/>
        <w:suppressAutoHyphens/>
        <w:ind w:firstLine="709"/>
        <w:jc w:val="both"/>
      </w:pPr>
      <w:r>
        <w:rPr>
          <w:color w:val="000000"/>
          <w:kern w:val="2"/>
          <w:lang w:eastAsia="ja-JP"/>
        </w:rPr>
        <w:t>визначити у новій ред</w:t>
      </w:r>
      <w:r>
        <w:rPr>
          <w:color w:val="000000"/>
          <w:kern w:val="2"/>
          <w:lang w:eastAsia="ja-JP"/>
        </w:rPr>
        <w:t xml:space="preserve">акції </w:t>
      </w:r>
      <w:r>
        <w:rPr>
          <w:color w:val="000000"/>
        </w:rPr>
        <w:t>поняття «спирт коньячний», «вино виноградне» з прив’язкою їх виробництва до виноградарських зон та природно-виноградарських районів, а також доповнити понятійний апарат Закону терміном «виробники спирту коньячного»;</w:t>
      </w:r>
    </w:p>
    <w:p w:rsidR="004F314A" w:rsidRDefault="00B50478">
      <w:pPr>
        <w:widowControl w:val="0"/>
        <w:suppressAutoHyphens/>
        <w:ind w:firstLine="709"/>
        <w:jc w:val="both"/>
        <w:rPr>
          <w:color w:val="000000"/>
        </w:rPr>
      </w:pPr>
      <w:r>
        <w:rPr>
          <w:color w:val="000000"/>
        </w:rPr>
        <w:t>встановити вимоги до матеріально-т</w:t>
      </w:r>
      <w:r>
        <w:rPr>
          <w:color w:val="000000"/>
        </w:rPr>
        <w:t>ехнічної бази виробників спирту коньячного та виробників виноробної продукції;</w:t>
      </w:r>
    </w:p>
    <w:p w:rsidR="004F314A" w:rsidRDefault="00B50478">
      <w:pPr>
        <w:widowControl w:val="0"/>
        <w:suppressAutoHyphens/>
        <w:ind w:firstLine="709"/>
        <w:jc w:val="both"/>
        <w:rPr>
          <w:color w:val="000000"/>
        </w:rPr>
      </w:pPr>
      <w:r>
        <w:rPr>
          <w:color w:val="000000"/>
        </w:rPr>
        <w:t>встановити заборону виробництва алкогольних напоїв із використанням компонентів несільськогосподарського походження тощо.</w:t>
      </w:r>
    </w:p>
    <w:p w:rsidR="004F314A" w:rsidRDefault="00B50478">
      <w:pPr>
        <w:tabs>
          <w:tab w:val="left" w:pos="3582"/>
        </w:tabs>
        <w:ind w:firstLine="709"/>
        <w:jc w:val="both"/>
        <w:rPr>
          <w:color w:val="000000"/>
        </w:rPr>
      </w:pPr>
      <w:r>
        <w:t>Метою законопроекту, як зазначається у пояснювальній за</w:t>
      </w:r>
      <w:r>
        <w:t xml:space="preserve">писці до нього, є </w:t>
      </w:r>
      <w:r>
        <w:rPr>
          <w:color w:val="000000"/>
        </w:rPr>
        <w:t>поступове, поетапне створення передумов для наближення та адаптації положень національного законодавства України до законодавства Європейського Союзу у сфері визначення, опису, представлення, маркування та охорони географічних зазначень с</w:t>
      </w:r>
      <w:r>
        <w:rPr>
          <w:color w:val="000000"/>
        </w:rPr>
        <w:t xml:space="preserve">пиртних напоїв та загальних підходів організації ринку вина в цілому та, зокрема, виробництва такого локального продукту як «коньяк України», встановлення обов’язковості використання у виробництві вітчизняних коньяків саме вітчизняної сировини. </w:t>
      </w:r>
    </w:p>
    <w:p w:rsidR="004F314A" w:rsidRDefault="00B50478">
      <w:pPr>
        <w:ind w:firstLine="708"/>
        <w:jc w:val="both"/>
        <w:rPr>
          <w:rStyle w:val="rvts23"/>
          <w:color w:val="000000"/>
        </w:rPr>
      </w:pPr>
      <w:r>
        <w:rPr>
          <w:rStyle w:val="rvts23"/>
          <w:color w:val="000000"/>
        </w:rPr>
        <w:t xml:space="preserve">Головне </w:t>
      </w:r>
      <w:r>
        <w:rPr>
          <w:rStyle w:val="rvts23"/>
          <w:color w:val="000000"/>
        </w:rPr>
        <w:t>управління, проаналізувавши законопроект, вважає за доцільне висловити щодо його окремих положень такі зауваження.</w:t>
      </w:r>
    </w:p>
    <w:p w:rsidR="004F314A" w:rsidRDefault="00B50478">
      <w:pPr>
        <w:ind w:firstLine="708"/>
        <w:jc w:val="both"/>
        <w:rPr>
          <w:rStyle w:val="rvts9"/>
          <w:highlight w:val="white"/>
        </w:rPr>
      </w:pPr>
      <w:r>
        <w:rPr>
          <w:b/>
        </w:rPr>
        <w:t>1.</w:t>
      </w:r>
      <w:r>
        <w:t xml:space="preserve"> Відповідно до нової редакції ч. 5 ст. 2 Закону «</w:t>
      </w:r>
      <w:r>
        <w:rPr>
          <w:rStyle w:val="rvts9"/>
          <w:shd w:val="clear" w:color="auto" w:fill="FFFFFF"/>
        </w:rPr>
        <w:t>виробництво спирту коньячного</w:t>
      </w:r>
      <w:r>
        <w:rPr>
          <w:rStyle w:val="rvts9"/>
          <w:b/>
          <w:bCs/>
          <w:shd w:val="clear" w:color="auto" w:fill="FFFFFF"/>
        </w:rPr>
        <w:t xml:space="preserve"> </w:t>
      </w:r>
      <w:r>
        <w:rPr>
          <w:rStyle w:val="rvts9"/>
          <w:shd w:val="clear" w:color="auto" w:fill="FFFFFF"/>
        </w:rPr>
        <w:t xml:space="preserve">здійснюється виробниками спирту коньячного, які мають </w:t>
      </w:r>
      <w:r>
        <w:rPr>
          <w:rStyle w:val="rvts9"/>
          <w:shd w:val="clear" w:color="auto" w:fill="FFFFFF"/>
        </w:rPr>
        <w:lastRenderedPageBreak/>
        <w:t>відпов</w:t>
      </w:r>
      <w:r>
        <w:rPr>
          <w:rStyle w:val="rvts9"/>
          <w:shd w:val="clear" w:color="auto" w:fill="FFFFFF"/>
        </w:rPr>
        <w:t xml:space="preserve">ідну ліцензію. Виробництво коньяку України здійснюється суб’єктами господарювання незалежно від форми власності і які мають відповідну ліцензію, шляхом купажу, обробки і витримки коньячних спиртів, без </w:t>
      </w:r>
      <w:r>
        <w:rPr>
          <w:rStyle w:val="rvts9"/>
          <w:shd w:val="clear" w:color="auto" w:fill="FFFFFF"/>
        </w:rPr>
        <w:br/>
        <w:t>будь-яких обмежень щодо часток використання коньячних</w:t>
      </w:r>
      <w:r>
        <w:rPr>
          <w:rStyle w:val="rvts9"/>
          <w:shd w:val="clear" w:color="auto" w:fill="FFFFFF"/>
        </w:rPr>
        <w:t xml:space="preserve"> спиртів інших виробників та коньячних спиртів неукраїнського походження, за умови збереження типових органолептичних показників конкретного найменування, витриманих не менше трьох років у дубовій тарі або нержавіючих чи емальованих </w:t>
      </w:r>
      <w:proofErr w:type="spellStart"/>
      <w:r>
        <w:rPr>
          <w:rStyle w:val="rvts9"/>
          <w:shd w:val="clear" w:color="auto" w:fill="FFFFFF"/>
        </w:rPr>
        <w:t>ємностях</w:t>
      </w:r>
      <w:proofErr w:type="spellEnd"/>
      <w:r>
        <w:rPr>
          <w:rStyle w:val="rvts9"/>
          <w:shd w:val="clear" w:color="auto" w:fill="FFFFFF"/>
        </w:rPr>
        <w:t xml:space="preserve"> з дубовою клеп</w:t>
      </w:r>
      <w:r>
        <w:rPr>
          <w:rStyle w:val="rvts9"/>
          <w:shd w:val="clear" w:color="auto" w:fill="FFFFFF"/>
        </w:rPr>
        <w:t xml:space="preserve">кою. </w:t>
      </w:r>
      <w:proofErr w:type="spellStart"/>
      <w:r>
        <w:rPr>
          <w:rStyle w:val="rvts9"/>
          <w:shd w:val="clear" w:color="auto" w:fill="FFFFFF"/>
        </w:rPr>
        <w:t>Післякупажний</w:t>
      </w:r>
      <w:proofErr w:type="spellEnd"/>
      <w:r>
        <w:rPr>
          <w:rStyle w:val="rvts9"/>
          <w:shd w:val="clear" w:color="auto" w:fill="FFFFFF"/>
        </w:rPr>
        <w:t xml:space="preserve"> відпочинок коньяків встановлюється рішенням суб’єкта господарювання».</w:t>
      </w:r>
    </w:p>
    <w:p w:rsidR="004F314A" w:rsidRDefault="00B50478">
      <w:pPr>
        <w:ind w:firstLine="708"/>
        <w:jc w:val="both"/>
      </w:pPr>
      <w:r>
        <w:t>Головне управління звертає увагу, що у разі прийняття наведених положень неврегульованим залишиться питання виробництва спирту плодового, зернового дистиляту, яке нара</w:t>
      </w:r>
      <w:r>
        <w:t>зі регулюється чинною ч. 5 ст. 2 Закону.</w:t>
      </w:r>
    </w:p>
    <w:p w:rsidR="004F314A" w:rsidRDefault="00B50478">
      <w:pPr>
        <w:ind w:firstLine="708"/>
        <w:jc w:val="both"/>
      </w:pPr>
      <w:r>
        <w:rPr>
          <w:rStyle w:val="rvts9"/>
          <w:b/>
          <w:shd w:val="clear" w:color="auto" w:fill="FFFFFF"/>
        </w:rPr>
        <w:t>2.</w:t>
      </w:r>
      <w:r>
        <w:rPr>
          <w:rStyle w:val="rvts9"/>
          <w:shd w:val="clear" w:color="auto" w:fill="FFFFFF"/>
        </w:rPr>
        <w:t xml:space="preserve"> Змінами до ст. 2-2 Закону пропонується визначити, що «переробку винограду, виготовлення, зберігання та обробку виноматеріалів для виробництва вина малими виробництвами виноробної продукції проводять за місцем зна</w:t>
      </w:r>
      <w:r>
        <w:rPr>
          <w:rStyle w:val="rvts9"/>
          <w:shd w:val="clear" w:color="auto" w:fill="FFFFFF"/>
        </w:rPr>
        <w:t>ходження виноградарських зон та природньо-виноградарських районів, із сортів винограду, які відповідають такому природному районуванню та відповідних районованих сортів винограду. … Докази того, що суб'єкт господарювання відповідає вимогам по матеріально –</w:t>
      </w:r>
      <w:r>
        <w:rPr>
          <w:rStyle w:val="rvts9"/>
          <w:shd w:val="clear" w:color="auto" w:fill="FFFFFF"/>
        </w:rPr>
        <w:t xml:space="preserve"> технічній бази виробництва вина, та не займається виробництвом чи переробкою чи збутом продукції, яка може використовуватись для виробництва коньячних виноматеріалів та спиртів коньячних відображаються в </w:t>
      </w:r>
      <w:r>
        <w:rPr>
          <w:rStyle w:val="rvts9"/>
          <w:i/>
          <w:iCs/>
          <w:shd w:val="clear" w:color="auto" w:fill="FFFFFF"/>
        </w:rPr>
        <w:t>Декларації виробництва вина малим виробництвом вино</w:t>
      </w:r>
      <w:r>
        <w:rPr>
          <w:rStyle w:val="rvts9"/>
          <w:i/>
          <w:iCs/>
          <w:shd w:val="clear" w:color="auto" w:fill="FFFFFF"/>
        </w:rPr>
        <w:t>робної продукції»</w:t>
      </w:r>
      <w:r w:rsidRPr="00B50478">
        <w:rPr>
          <w:rStyle w:val="rvts9"/>
          <w:bCs/>
          <w:shd w:val="clear" w:color="auto" w:fill="FFFFFF"/>
        </w:rPr>
        <w:t>.</w:t>
      </w:r>
    </w:p>
    <w:p w:rsidR="004F314A" w:rsidRDefault="00B50478">
      <w:pPr>
        <w:ind w:firstLine="708"/>
        <w:jc w:val="both"/>
        <w:rPr>
          <w:rStyle w:val="rvts9"/>
          <w:highlight w:val="white"/>
        </w:rPr>
      </w:pPr>
      <w:r>
        <w:rPr>
          <w:rStyle w:val="rvts9"/>
          <w:shd w:val="clear" w:color="auto" w:fill="FFFFFF"/>
        </w:rPr>
        <w:t xml:space="preserve">Звертаємо увагу, що відповідно до ч. ч. 3, 4 чинної ст. 2-2 Закону </w:t>
      </w:r>
      <w:r>
        <w:t>вимоги до матеріально-технічної бази малих виробництв виноробної продукції визначаються цим Законом.</w:t>
      </w:r>
      <w:bookmarkStart w:id="2" w:name="n189"/>
      <w:bookmarkEnd w:id="2"/>
      <w:r>
        <w:t xml:space="preserve"> </w:t>
      </w:r>
      <w:hyperlink r:id="rId6" w:anchor="_blank" w:history="1">
        <w:r>
          <w:rPr>
            <w:rStyle w:val="InternetLink"/>
            <w:color w:val="000000"/>
            <w:u w:val="none"/>
          </w:rPr>
          <w:t>Форма декларації</w:t>
        </w:r>
      </w:hyperlink>
      <w:r>
        <w:t xml:space="preserve">, </w:t>
      </w:r>
      <w:hyperlink r:id="rId7" w:anchor="_blank" w:history="1">
        <w:r>
          <w:rPr>
            <w:rStyle w:val="InternetLink"/>
            <w:color w:val="000000"/>
            <w:u w:val="none"/>
          </w:rPr>
          <w:t>порядок</w:t>
        </w:r>
      </w:hyperlink>
      <w:r>
        <w:t xml:space="preserve"> її подання та реєстрації визначаються Кабінетом Міністрів України. При цьому </w:t>
      </w:r>
      <w:r>
        <w:rPr>
          <w:rStyle w:val="rvts9"/>
          <w:shd w:val="clear" w:color="auto" w:fill="FFFFFF"/>
        </w:rPr>
        <w:t>постановою Кабінету Міністрів України від</w:t>
      </w:r>
      <w:r>
        <w:rPr>
          <w:rStyle w:val="rvts9"/>
        </w:rPr>
        <w:t xml:space="preserve"> 03.10.2018 № 823 затверджено Порядок </w:t>
      </w:r>
      <w:r>
        <w:t xml:space="preserve">подання та реєстрації </w:t>
      </w:r>
      <w:r>
        <w:rPr>
          <w:i/>
        </w:rPr>
        <w:t xml:space="preserve">декларації відповідності </w:t>
      </w:r>
      <w:bookmarkStart w:id="3" w:name="_GoBack"/>
      <w:bookmarkEnd w:id="3"/>
      <w:r>
        <w:rPr>
          <w:i/>
        </w:rPr>
        <w:t xml:space="preserve">матеріально-технічної бази малих виробництв виноробної продукції вимогам законодавства. </w:t>
      </w:r>
      <w:r>
        <w:t>Відтак, не повною мірою зрозуміло, скільки декларацій має подавати суб’єкт господа</w:t>
      </w:r>
      <w:r>
        <w:t>рювання у разі прийняття законопроекту.</w:t>
      </w:r>
    </w:p>
    <w:p w:rsidR="004F314A" w:rsidRDefault="00B50478">
      <w:pPr>
        <w:ind w:firstLine="708"/>
        <w:jc w:val="both"/>
      </w:pPr>
      <w:r>
        <w:rPr>
          <w:rStyle w:val="rvts9"/>
          <w:b/>
          <w:shd w:val="clear" w:color="auto" w:fill="FFFFFF"/>
        </w:rPr>
        <w:t>3.</w:t>
      </w:r>
      <w:r>
        <w:rPr>
          <w:rStyle w:val="rvts9"/>
          <w:shd w:val="clear" w:color="auto" w:fill="FFFFFF"/>
        </w:rPr>
        <w:t xml:space="preserve"> З</w:t>
      </w:r>
      <w:r>
        <w:t xml:space="preserve">важаючи на те, що чинний Закон України «Про виноград та виноградне вино» </w:t>
      </w:r>
      <w:r>
        <w:rPr>
          <w:rStyle w:val="rvts0"/>
        </w:rPr>
        <w:t>регулює правові відносини у сфері виноградарства та виноробства України, пов'язані з веденням виноградників та виробництвом винограду, вина</w:t>
      </w:r>
      <w:r>
        <w:rPr>
          <w:rStyle w:val="rvts0"/>
        </w:rPr>
        <w:t xml:space="preserve"> та інших продуктів виноробства, визначає регламентацію і контроль у цих галузях виробництва, права і обов'язки виробників, повноваження органів виконавчої влади і спрямований на посилення боротьби з фальсифікацією виноробної продукції в Україні, ним, зокр</w:t>
      </w:r>
      <w:r>
        <w:rPr>
          <w:rStyle w:val="rvts0"/>
        </w:rPr>
        <w:t xml:space="preserve">ема, визначаються: порядок опорядження та утримання виноградників, вимоги до якості сировини, регламентація виноробства, загальні вимоги до виноматеріалів, вин і коньяків, умов їх виробництва тощо, вбачається </w:t>
      </w:r>
      <w:r>
        <w:rPr>
          <w:rStyle w:val="rvts0"/>
        </w:rPr>
        <w:lastRenderedPageBreak/>
        <w:t xml:space="preserve">доцільним усі питання щодо виноробства, у тому </w:t>
      </w:r>
      <w:r>
        <w:rPr>
          <w:rStyle w:val="rvts0"/>
        </w:rPr>
        <w:t>числі, малих виробництв, врегулювати у цьому Законі.</w:t>
      </w:r>
      <w:bookmarkStart w:id="4" w:name="n4"/>
      <w:bookmarkEnd w:id="4"/>
    </w:p>
    <w:p w:rsidR="004F314A" w:rsidRDefault="00B50478">
      <w:pPr>
        <w:ind w:firstLine="708"/>
        <w:jc w:val="both"/>
        <w:rPr>
          <w:color w:val="FF0000"/>
        </w:rPr>
      </w:pPr>
      <w:r>
        <w:rPr>
          <w:rStyle w:val="rvts0"/>
          <w:b/>
        </w:rPr>
        <w:t>4.</w:t>
      </w:r>
      <w:r>
        <w:rPr>
          <w:rStyle w:val="rvts0"/>
        </w:rPr>
        <w:t xml:space="preserve"> </w:t>
      </w:r>
      <w:r>
        <w:t>Згідно з п. 16 розділу І проекту «</w:t>
      </w:r>
      <w:r>
        <w:rPr>
          <w:rStyle w:val="rvts9"/>
          <w:bCs/>
          <w:lang w:eastAsia="uk-UA"/>
        </w:rPr>
        <w:t xml:space="preserve">по закінченні перехідного періоду відповідно до пункту 3 статті 208 «Тимчасові заходи» Підрозділу 3 «Географічні значення» Глави 9 «Інтелектуальна власність» Розділу </w:t>
      </w:r>
      <w:r>
        <w:rPr>
          <w:rStyle w:val="rvts9"/>
          <w:bCs/>
          <w:lang w:eastAsia="uk-UA"/>
        </w:rPr>
        <w:t>IV «Торгівля і питання, пов’язані із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правила встановлені для спирту коньячног</w:t>
      </w:r>
      <w:r>
        <w:rPr>
          <w:rStyle w:val="rvts9"/>
          <w:bCs/>
          <w:lang w:eastAsia="uk-UA"/>
        </w:rPr>
        <w:t>о та коньяку України зберігають свою чинність для ідентичних категорій, що вводиться на їх заміну».</w:t>
      </w:r>
      <w:r>
        <w:t xml:space="preserve"> Такий підхід, на наш погляд, виглядає необґрунтованим з юридичної точки зору. Вбачається, що для забезпечення належного регулювання відповідних правовідноси</w:t>
      </w:r>
      <w:r>
        <w:t>н (у тому числі з точки зору коректності застосування понятійного апарату, предмету регулювання тощо) по закінченні зазначеного перехідного періоду має бути запроваджений відповідний правовий регулюючий механізм, розробка якого має здійснюватися вже сьогод</w:t>
      </w:r>
      <w:r>
        <w:t xml:space="preserve">ні. </w:t>
      </w:r>
    </w:p>
    <w:p w:rsidR="004F314A" w:rsidRDefault="004F314A">
      <w:pPr>
        <w:ind w:firstLine="708"/>
        <w:jc w:val="both"/>
        <w:rPr>
          <w:rStyle w:val="rvts0"/>
        </w:rPr>
      </w:pPr>
    </w:p>
    <w:p w:rsidR="004F314A" w:rsidRDefault="004F314A">
      <w:pPr>
        <w:ind w:firstLine="708"/>
        <w:jc w:val="both"/>
        <w:rPr>
          <w:rStyle w:val="rvts0"/>
        </w:rPr>
      </w:pPr>
    </w:p>
    <w:p w:rsidR="004F314A" w:rsidRDefault="00B50478">
      <w:pPr>
        <w:ind w:firstLine="708"/>
        <w:jc w:val="both"/>
      </w:pPr>
      <w:r>
        <w:t xml:space="preserve">Керівник Головного управління                         </w:t>
      </w:r>
      <w:r w:rsidR="00C06A0A">
        <w:t xml:space="preserve">         </w:t>
      </w:r>
      <w:r>
        <w:t xml:space="preserve">          С. </w:t>
      </w:r>
      <w:proofErr w:type="spellStart"/>
      <w:r>
        <w:t>Тихонюк</w:t>
      </w:r>
      <w:proofErr w:type="spellEnd"/>
    </w:p>
    <w:p w:rsidR="004F314A" w:rsidRDefault="004F314A">
      <w:pPr>
        <w:ind w:firstLine="708"/>
        <w:jc w:val="both"/>
      </w:pPr>
    </w:p>
    <w:p w:rsidR="004F314A" w:rsidRDefault="004F314A">
      <w:pPr>
        <w:ind w:firstLine="708"/>
        <w:jc w:val="both"/>
      </w:pPr>
    </w:p>
    <w:p w:rsidR="004F314A" w:rsidRDefault="00B50478">
      <w:pPr>
        <w:ind w:firstLine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proofErr w:type="spellStart"/>
      <w:r>
        <w:rPr>
          <w:sz w:val="20"/>
          <w:szCs w:val="20"/>
        </w:rPr>
        <w:t>О.Олещенко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І.Фомін</w:t>
      </w:r>
      <w:proofErr w:type="spellEnd"/>
    </w:p>
    <w:p w:rsidR="004F314A" w:rsidRDefault="004F314A">
      <w:pPr>
        <w:jc w:val="both"/>
        <w:rPr>
          <w:sz w:val="20"/>
          <w:szCs w:val="20"/>
        </w:rPr>
      </w:pPr>
    </w:p>
    <w:p w:rsidR="004F314A" w:rsidRDefault="004F314A">
      <w:pPr>
        <w:ind w:firstLine="708"/>
        <w:jc w:val="both"/>
      </w:pPr>
    </w:p>
    <w:p w:rsidR="004F314A" w:rsidRDefault="004F314A">
      <w:pPr>
        <w:rPr>
          <w:lang w:val="ru-RU"/>
        </w:rPr>
      </w:pPr>
    </w:p>
    <w:p w:rsidR="004F314A" w:rsidRDefault="004F314A">
      <w:pPr>
        <w:rPr>
          <w:lang w:val="ru-RU"/>
        </w:rPr>
      </w:pPr>
    </w:p>
    <w:p w:rsidR="004F314A" w:rsidRDefault="004F314A">
      <w:pPr>
        <w:rPr>
          <w:lang w:val="ru-RU"/>
        </w:rPr>
      </w:pPr>
    </w:p>
    <w:p w:rsidR="004F314A" w:rsidRDefault="004F314A">
      <w:pPr>
        <w:rPr>
          <w:lang w:val="ru-RU"/>
        </w:rPr>
      </w:pPr>
    </w:p>
    <w:p w:rsidR="004F314A" w:rsidRDefault="004F314A">
      <w:pPr>
        <w:rPr>
          <w:lang w:val="ru-RU"/>
        </w:rPr>
      </w:pPr>
    </w:p>
    <w:sectPr w:rsidR="004F314A">
      <w:headerReference w:type="default" r:id="rId8"/>
      <w:headerReference w:type="first" r:id="rId9"/>
      <w:pgSz w:w="11906" w:h="16838"/>
      <w:pgMar w:top="1134" w:right="851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50478">
      <w:r>
        <w:separator/>
      </w:r>
    </w:p>
  </w:endnote>
  <w:endnote w:type="continuationSeparator" w:id="0">
    <w:p w:rsidR="00000000" w:rsidRDefault="00B5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;Courier New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S Mincho;ＭＳ 明朝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50478">
      <w:r>
        <w:separator/>
      </w:r>
    </w:p>
  </w:footnote>
  <w:footnote w:type="continuationSeparator" w:id="0">
    <w:p w:rsidR="00000000" w:rsidRDefault="00B50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4A" w:rsidRDefault="00B50478">
    <w:pPr>
      <w:pStyle w:val="ac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3</w:t>
    </w:r>
    <w:r>
      <w:fldChar w:fldCharType="end"/>
    </w:r>
  </w:p>
  <w:p w:rsidR="004F314A" w:rsidRDefault="004F314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4A" w:rsidRDefault="00B50478">
    <w:pPr>
      <w:jc w:val="right"/>
    </w:pPr>
    <w:r>
      <w:rPr>
        <w:sz w:val="20"/>
        <w:szCs w:val="20"/>
      </w:rPr>
      <w:t xml:space="preserve">До реєстр. № </w:t>
    </w:r>
    <w:r>
      <w:rPr>
        <w:sz w:val="20"/>
        <w:szCs w:val="20"/>
        <w:lang w:val="ru-RU"/>
      </w:rPr>
      <w:t>2431-1</w:t>
    </w:r>
    <w:r>
      <w:rPr>
        <w:sz w:val="20"/>
        <w:szCs w:val="20"/>
      </w:rPr>
      <w:t xml:space="preserve"> від </w:t>
    </w:r>
    <w:r>
      <w:rPr>
        <w:sz w:val="20"/>
        <w:szCs w:val="20"/>
        <w:lang w:val="ru-RU"/>
      </w:rPr>
      <w:t>03</w:t>
    </w:r>
    <w:r>
      <w:rPr>
        <w:sz w:val="20"/>
        <w:szCs w:val="20"/>
      </w:rPr>
      <w:t>.</w:t>
    </w:r>
    <w:r>
      <w:rPr>
        <w:sz w:val="20"/>
        <w:szCs w:val="20"/>
        <w:lang w:val="ru-RU"/>
      </w:rPr>
      <w:t>12</w:t>
    </w:r>
    <w:r>
      <w:rPr>
        <w:sz w:val="20"/>
        <w:szCs w:val="20"/>
      </w:rPr>
      <w:t>.201</w:t>
    </w:r>
    <w:r>
      <w:rPr>
        <w:sz w:val="20"/>
        <w:szCs w:val="20"/>
        <w:lang w:val="ru-RU"/>
      </w:rPr>
      <w:t>9</w:t>
    </w:r>
  </w:p>
  <w:p w:rsidR="004F314A" w:rsidRDefault="00B50478">
    <w:pPr>
      <w:jc w:val="right"/>
    </w:pPr>
    <w:r>
      <w:rPr>
        <w:sz w:val="20"/>
        <w:szCs w:val="20"/>
      </w:rPr>
      <w:t xml:space="preserve">Народний депутат України </w:t>
    </w:r>
  </w:p>
  <w:p w:rsidR="004F314A" w:rsidRDefault="00B50478">
    <w:pPr>
      <w:jc w:val="right"/>
      <w:rPr>
        <w:sz w:val="20"/>
        <w:szCs w:val="20"/>
      </w:rPr>
    </w:pPr>
    <w:r>
      <w:rPr>
        <w:sz w:val="20"/>
        <w:szCs w:val="20"/>
      </w:rPr>
      <w:t xml:space="preserve">Н. </w:t>
    </w:r>
    <w:proofErr w:type="spellStart"/>
    <w:r>
      <w:rPr>
        <w:sz w:val="20"/>
        <w:szCs w:val="20"/>
      </w:rPr>
      <w:t>Южаніна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4A"/>
    <w:rsid w:val="002D084C"/>
    <w:rsid w:val="004F314A"/>
    <w:rsid w:val="00B50478"/>
    <w:rsid w:val="00C0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342F"/>
  <w15:docId w15:val="{AD94C166-A953-4522-A042-631707BA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  <w:szCs w:val="28"/>
      <w:lang w:val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a3">
    <w:name w:val="Назва документа Знак"/>
    <w:basedOn w:val="a0"/>
    <w:qFormat/>
    <w:rPr>
      <w:rFonts w:ascii="Antiqua;Courier New" w:hAnsi="Antiqua;Courier New" w:cs="Antiqua;Courier New"/>
      <w:b/>
      <w:bCs/>
      <w:sz w:val="20"/>
      <w:szCs w:val="20"/>
    </w:rPr>
  </w:style>
  <w:style w:type="character" w:customStyle="1" w:styleId="rvts23">
    <w:name w:val="rvts23"/>
    <w:basedOn w:val="a0"/>
    <w:qFormat/>
  </w:style>
  <w:style w:type="character" w:customStyle="1" w:styleId="rvts9">
    <w:name w:val="rvts9"/>
    <w:qFormat/>
  </w:style>
  <w:style w:type="character" w:customStyle="1" w:styleId="FootnoteTextChar">
    <w:name w:val="Footnote Text Char"/>
    <w:basedOn w:val="a0"/>
    <w:qFormat/>
    <w:rPr>
      <w:rFonts w:eastAsia="Times New Roman"/>
      <w:sz w:val="20"/>
      <w:szCs w:val="20"/>
      <w:lang w:val="ru-RU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rvts0">
    <w:name w:val="rvts0"/>
    <w:basedOn w:val="a0"/>
    <w:qFormat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rvts15">
    <w:name w:val="rvts15"/>
    <w:basedOn w:val="a0"/>
    <w:qFormat/>
  </w:style>
  <w:style w:type="character" w:customStyle="1" w:styleId="rvts46">
    <w:name w:val="rvts46"/>
    <w:basedOn w:val="a0"/>
    <w:qFormat/>
  </w:style>
  <w:style w:type="character" w:customStyle="1" w:styleId="HTMLPreformattedChar">
    <w:name w:val="HTML Preformatted Char"/>
    <w:qFormat/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PreformattedChar1">
    <w:name w:val="HTML Preformatted Char1"/>
    <w:basedOn w:val="a0"/>
    <w:qFormat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HTML">
    <w:name w:val="Стандартний HTML Знак"/>
    <w:basedOn w:val="a0"/>
    <w:qFormat/>
    <w:rPr>
      <w:rFonts w:ascii="Consolas" w:hAnsi="Consolas" w:cs="Consolas"/>
      <w:sz w:val="20"/>
      <w:szCs w:val="20"/>
    </w:rPr>
  </w:style>
  <w:style w:type="character" w:customStyle="1" w:styleId="HeaderChar">
    <w:name w:val="Header Char"/>
    <w:basedOn w:val="a0"/>
    <w:qFormat/>
    <w:rPr>
      <w:rFonts w:eastAsia="Times New Roman"/>
      <w:sz w:val="28"/>
      <w:szCs w:val="28"/>
    </w:rPr>
  </w:style>
  <w:style w:type="character" w:customStyle="1" w:styleId="FooterChar">
    <w:name w:val="Footer Char"/>
    <w:basedOn w:val="a0"/>
    <w:qFormat/>
    <w:rPr>
      <w:rFonts w:eastAsia="Times New Roman"/>
      <w:sz w:val="28"/>
      <w:szCs w:val="28"/>
    </w:rPr>
  </w:style>
  <w:style w:type="character" w:customStyle="1" w:styleId="NoSpacingChar">
    <w:name w:val="No Spacing Char"/>
    <w:qFormat/>
    <w:rPr>
      <w:rFonts w:ascii="Calibri" w:eastAsia="Times New Roman" w:hAnsi="Calibri" w:cs="Calibri"/>
      <w:sz w:val="22"/>
      <w:szCs w:val="22"/>
      <w:lang w:val="ru-RU" w:bidi="ar-SA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7">
    <w:name w:val="Назва документа"/>
    <w:basedOn w:val="a"/>
    <w:next w:val="a"/>
    <w:qFormat/>
    <w:pPr>
      <w:keepNext/>
      <w:keepLines/>
      <w:spacing w:before="360" w:after="360"/>
      <w:jc w:val="center"/>
    </w:pPr>
    <w:rPr>
      <w:rFonts w:ascii="Antiqua;Courier New" w:hAnsi="Antiqua;Courier New" w:cs="Antiqua;Courier New"/>
      <w:b/>
      <w:bCs/>
      <w:sz w:val="26"/>
      <w:szCs w:val="26"/>
    </w:rPr>
  </w:style>
  <w:style w:type="paragraph" w:styleId="a8">
    <w:name w:val="Normal (Web)"/>
    <w:basedOn w:val="a"/>
    <w:qFormat/>
    <w:pPr>
      <w:spacing w:before="280" w:after="280"/>
    </w:pPr>
    <w:rPr>
      <w:rFonts w:eastAsia="MS Mincho;ＭＳ 明朝"/>
      <w:sz w:val="24"/>
      <w:szCs w:val="24"/>
      <w:lang w:val="ru-RU"/>
    </w:rPr>
  </w:style>
  <w:style w:type="paragraph" w:styleId="a9">
    <w:name w:val="No Spacing"/>
    <w:qFormat/>
    <w:rPr>
      <w:rFonts w:ascii="Calibri" w:eastAsia="Times New Roman" w:hAnsi="Calibri" w:cs="Calibri"/>
      <w:sz w:val="22"/>
      <w:szCs w:val="22"/>
      <w:lang w:val="ru-RU" w:bidi="ar-SA"/>
    </w:rPr>
  </w:style>
  <w:style w:type="paragraph" w:styleId="aa">
    <w:name w:val="List Paragraph"/>
    <w:basedOn w:val="a"/>
    <w:qFormat/>
    <w:pPr>
      <w:ind w:left="720"/>
    </w:pPr>
  </w:style>
  <w:style w:type="paragraph" w:styleId="ab">
    <w:name w:val="footnote text"/>
    <w:basedOn w:val="a"/>
    <w:pPr>
      <w:widowControl w:val="0"/>
      <w:autoSpaceDE w:val="0"/>
    </w:pPr>
    <w:rPr>
      <w:sz w:val="20"/>
      <w:szCs w:val="20"/>
      <w:lang w:val="ru-RU"/>
    </w:rPr>
  </w:style>
  <w:style w:type="paragraph" w:customStyle="1" w:styleId="rvps1">
    <w:name w:val="rvps1"/>
    <w:basedOn w:val="a"/>
    <w:qFormat/>
    <w:pPr>
      <w:spacing w:before="280" w:after="280"/>
    </w:pPr>
    <w:rPr>
      <w:sz w:val="24"/>
      <w:szCs w:val="24"/>
    </w:rPr>
  </w:style>
  <w:style w:type="paragraph" w:customStyle="1" w:styleId="rvps4">
    <w:name w:val="rvps4"/>
    <w:basedOn w:val="a"/>
    <w:qFormat/>
    <w:pPr>
      <w:spacing w:before="280" w:after="280"/>
    </w:pPr>
    <w:rPr>
      <w:sz w:val="24"/>
      <w:szCs w:val="24"/>
    </w:rPr>
  </w:style>
  <w:style w:type="paragraph" w:customStyle="1" w:styleId="rvps7">
    <w:name w:val="rvps7"/>
    <w:basedOn w:val="a"/>
    <w:qFormat/>
    <w:pPr>
      <w:spacing w:before="280" w:after="280"/>
    </w:pPr>
    <w:rPr>
      <w:sz w:val="24"/>
      <w:szCs w:val="24"/>
    </w:rPr>
  </w:style>
  <w:style w:type="paragraph" w:customStyle="1" w:styleId="rvps14">
    <w:name w:val="rvps14"/>
    <w:basedOn w:val="a"/>
    <w:qFormat/>
    <w:pPr>
      <w:spacing w:before="280" w:after="280"/>
    </w:pPr>
    <w:rPr>
      <w:sz w:val="24"/>
      <w:szCs w:val="24"/>
    </w:rPr>
  </w:style>
  <w:style w:type="paragraph" w:customStyle="1" w:styleId="rvps6">
    <w:name w:val="rvps6"/>
    <w:basedOn w:val="a"/>
    <w:qFormat/>
    <w:pPr>
      <w:spacing w:before="280" w:after="280"/>
    </w:pPr>
    <w:rPr>
      <w:sz w:val="24"/>
      <w:szCs w:val="24"/>
    </w:rPr>
  </w:style>
  <w:style w:type="paragraph" w:customStyle="1" w:styleId="rvps2">
    <w:name w:val="rvps2"/>
    <w:basedOn w:val="a"/>
    <w:qFormat/>
    <w:pPr>
      <w:spacing w:before="280" w:after="280"/>
    </w:pPr>
    <w:rPr>
      <w:sz w:val="24"/>
      <w:szCs w:val="24"/>
    </w:rPr>
  </w:style>
  <w:style w:type="paragraph" w:styleId="HTML0">
    <w:name w:val="HTML Preformatted"/>
    <w:basedOn w:val="a"/>
    <w:qFormat/>
    <w:rPr>
      <w:rFonts w:ascii="Courier New" w:eastAsia="Calibri" w:hAnsi="Courier New" w:cs="Courier New"/>
      <w:color w:val="000000"/>
      <w:sz w:val="21"/>
      <w:szCs w:val="21"/>
      <w:lang w:val="ru-RU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c">
    <w:name w:val="header"/>
    <w:basedOn w:val="a"/>
    <w:pPr>
      <w:tabs>
        <w:tab w:val="center" w:pos="4819"/>
        <w:tab w:val="right" w:pos="9639"/>
      </w:tabs>
    </w:pPr>
  </w:style>
  <w:style w:type="paragraph" w:styleId="ad">
    <w:name w:val="footer"/>
    <w:basedOn w:val="a"/>
    <w:pPr>
      <w:tabs>
        <w:tab w:val="center" w:pos="4819"/>
        <w:tab w:val="right" w:pos="9639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823-2018-&#1087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823-2018-&#1087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3811</Words>
  <Characters>2173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Фомін Ігор Сергійович</dc:creator>
  <cp:keywords/>
  <dc:description/>
  <cp:lastModifiedBy>Лопотуха Інна Григорівна</cp:lastModifiedBy>
  <cp:revision>4</cp:revision>
  <dcterms:created xsi:type="dcterms:W3CDTF">2020-03-25T09:22:00Z</dcterms:created>
  <dcterms:modified xsi:type="dcterms:W3CDTF">2020-03-25T09:23:00Z</dcterms:modified>
  <dc:language>en-US</dc:language>
</cp:coreProperties>
</file>