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12A0" w:rsidRDefault="008712A0">
      <w:pPr>
        <w:pStyle w:val="Nazva"/>
      </w:pPr>
    </w:p>
    <w:p w:rsidR="008712A0" w:rsidRDefault="008712A0">
      <w:pPr>
        <w:pStyle w:val="Nazva"/>
      </w:pPr>
    </w:p>
    <w:p w:rsidR="008712A0" w:rsidRDefault="008712A0">
      <w:pPr>
        <w:pStyle w:val="Nazva"/>
      </w:pPr>
    </w:p>
    <w:p w:rsidR="008712A0" w:rsidRDefault="008712A0">
      <w:pPr>
        <w:pStyle w:val="Nazva"/>
      </w:pPr>
    </w:p>
    <w:p w:rsidR="008712A0" w:rsidRDefault="008712A0">
      <w:pPr>
        <w:pStyle w:val="Nazva"/>
      </w:pPr>
    </w:p>
    <w:p w:rsidR="00B17AE7" w:rsidRDefault="00B17AE7">
      <w:pPr>
        <w:pStyle w:val="Nazva"/>
      </w:pPr>
    </w:p>
    <w:p w:rsidR="00A15796" w:rsidRDefault="00A15796">
      <w:pPr>
        <w:pStyle w:val="Nazva"/>
      </w:pPr>
    </w:p>
    <w:p w:rsidR="00A15796" w:rsidRDefault="00A15796">
      <w:pPr>
        <w:pStyle w:val="Nazva"/>
      </w:pPr>
    </w:p>
    <w:p w:rsidR="00A15796" w:rsidRDefault="00A15796">
      <w:pPr>
        <w:pStyle w:val="Nazva"/>
      </w:pPr>
    </w:p>
    <w:p w:rsidR="00A15796" w:rsidRDefault="00A15796">
      <w:pPr>
        <w:pStyle w:val="Nazva"/>
      </w:pPr>
    </w:p>
    <w:p w:rsidR="008712A0" w:rsidRDefault="008E3EB1">
      <w:pPr>
        <w:pStyle w:val="Nazva"/>
      </w:pPr>
      <w:r>
        <w:t>ВИСНОВОК</w:t>
      </w:r>
    </w:p>
    <w:p w:rsidR="008712A0" w:rsidRDefault="008E3EB1">
      <w:pPr>
        <w:pStyle w:val="Nazva"/>
      </w:pPr>
      <w:r>
        <w:t>на проект Закону України «Про внесення змін до Кодексу законів про працю України щодо додаткових підстав звільнення»</w:t>
      </w:r>
    </w:p>
    <w:p w:rsidR="004336E7" w:rsidRDefault="004336E7">
      <w:pPr>
        <w:pStyle w:val="Nazva"/>
      </w:pPr>
    </w:p>
    <w:p w:rsidR="008712A0" w:rsidRDefault="008E3EB1" w:rsidP="00420810">
      <w:pPr>
        <w:ind w:firstLine="709"/>
        <w:jc w:val="both"/>
      </w:pPr>
      <w:r>
        <w:t xml:space="preserve">У законопроекті пропонується </w:t>
      </w:r>
      <w:proofErr w:type="spellStart"/>
      <w:r>
        <w:t>внести</w:t>
      </w:r>
      <w:proofErr w:type="spellEnd"/>
      <w:r>
        <w:t xml:space="preserve"> зміни до Кодексу законів про працю України (далі – КЗпП), метою яких, як зазначено суб’єктом законодавчої ініціативи у пояснювальній записці, «є вдосконалення законодавчих актів, які регулюють питання розірвання трудових</w:t>
      </w:r>
      <w:r>
        <w:t xml:space="preserve"> відносин, що в свою чергу сприятиме збільшенню інвестицій в економіку України». </w:t>
      </w:r>
    </w:p>
    <w:p w:rsidR="008712A0" w:rsidRDefault="008E3EB1" w:rsidP="00420810">
      <w:pPr>
        <w:widowControl w:val="0"/>
        <w:shd w:val="clear" w:color="auto" w:fill="FFFFFF"/>
        <w:ind w:firstLine="567"/>
        <w:jc w:val="both"/>
        <w:textAlignment w:val="baseline"/>
      </w:pPr>
      <w:r>
        <w:t>Суб’єктом законодавчої ініціативи запропоновано: доповнити перелік підстав припинення трудового договору, зокрема, з причини смерті та визнання безвісно відсутнім чи оголошен</w:t>
      </w:r>
      <w:r>
        <w:t>ня померлим; розширити можливості розірвання трудового договору з ініціативи власника – у випадку припинення підприємницької діяльності фізичної особи-підприємця, невиконання розпоряджень роботодавця, відсутності на роботі протягом робочого дня без поважни</w:t>
      </w:r>
      <w:r>
        <w:t>х причин; втрати довіри до працівника, розголошення комерційної таємниці тощо; виключити погодження з профспілками звільнення працівників; запровадити можливість звільнення з ініціативи власника жінок (у період вагітності, жінок, які мають дітей до 3-х рок</w:t>
      </w:r>
      <w:r>
        <w:t>ів, одиноких матерів та матерів дітей з інвалідністю) «з причин, не пов’язаних з вагітністю або народженням дитини й наслідками цього або з вигодовуванням дитини», а також скасувати гарантію обов’язкового працевлаштування таких жінок у разі звільнення у ви</w:t>
      </w:r>
      <w:r>
        <w:t xml:space="preserve">падку повної ліквідації підприємства; включити до додаткових підстав для розірвання трудового договору з ініціативи власника зміну власника юридичної особи (по відношенню до керівника, його заступників та головного бухгалтера) тощо. </w:t>
      </w:r>
    </w:p>
    <w:p w:rsidR="008712A0" w:rsidRDefault="008E3EB1" w:rsidP="00420810">
      <w:pPr>
        <w:shd w:val="clear" w:color="auto" w:fill="FFFFFF"/>
        <w:tabs>
          <w:tab w:val="left" w:pos="820"/>
        </w:tabs>
        <w:ind w:firstLine="709"/>
        <w:jc w:val="both"/>
        <w:rPr>
          <w:rFonts w:eastAsia="Times New Roman"/>
          <w:highlight w:val="yellow"/>
          <w:lang w:eastAsia="en-US"/>
        </w:rPr>
      </w:pPr>
      <w:r>
        <w:rPr>
          <w:rFonts w:eastAsia="Times New Roman"/>
          <w:lang w:eastAsia="en-US"/>
        </w:rPr>
        <w:t>Головне науково-експер</w:t>
      </w:r>
      <w:r>
        <w:rPr>
          <w:rFonts w:eastAsia="Times New Roman"/>
          <w:lang w:eastAsia="en-US"/>
        </w:rPr>
        <w:t>тне управління, не заперечуючи необхідності створення</w:t>
      </w:r>
      <w:bookmarkStart w:id="0" w:name="_GoBack"/>
      <w:bookmarkEnd w:id="0"/>
      <w:r>
        <w:rPr>
          <w:rFonts w:eastAsia="Times New Roman"/>
          <w:lang w:eastAsia="en-US"/>
        </w:rPr>
        <w:t xml:space="preserve"> сприятливого інвестиційного клімату в країні задля прискорення економічного зростання країни, водночас не підтримує запропонований проектом спосіб досягнення такої мети, а саме, через порушення низки між</w:t>
      </w:r>
      <w:r>
        <w:rPr>
          <w:rFonts w:eastAsia="Times New Roman"/>
          <w:lang w:eastAsia="en-US"/>
        </w:rPr>
        <w:t xml:space="preserve">народних зобов'язань України щодо прав працюючих та звуження обсягу і змісту </w:t>
      </w:r>
      <w:r w:rsidRPr="004336E7">
        <w:rPr>
          <w:rFonts w:eastAsia="Times New Roman"/>
          <w:lang w:eastAsia="en-US"/>
        </w:rPr>
        <w:t xml:space="preserve">їх </w:t>
      </w:r>
      <w:r>
        <w:rPr>
          <w:rFonts w:eastAsia="Times New Roman"/>
          <w:lang w:eastAsia="en-US"/>
        </w:rPr>
        <w:t>прав.</w:t>
      </w:r>
    </w:p>
    <w:p w:rsidR="008712A0" w:rsidRDefault="008712A0">
      <w:pPr>
        <w:shd w:val="clear" w:color="auto" w:fill="FFFFFF"/>
        <w:tabs>
          <w:tab w:val="left" w:pos="820"/>
        </w:tabs>
        <w:ind w:firstLine="709"/>
        <w:rPr>
          <w:rFonts w:eastAsia="Times New Roman"/>
          <w:lang w:eastAsia="en-US"/>
        </w:rPr>
      </w:pPr>
    </w:p>
    <w:p w:rsidR="008712A0" w:rsidRDefault="008E3EB1">
      <w:pPr>
        <w:shd w:val="clear" w:color="auto" w:fill="FFFFFF"/>
        <w:tabs>
          <w:tab w:val="left" w:pos="820"/>
        </w:tabs>
        <w:ind w:firstLine="709"/>
        <w:rPr>
          <w:rFonts w:eastAsia="Times New Roman"/>
          <w:b/>
          <w:lang w:eastAsia="en-US"/>
        </w:rPr>
      </w:pPr>
      <w:r>
        <w:rPr>
          <w:rFonts w:eastAsia="Times New Roman"/>
          <w:lang w:eastAsia="en-US"/>
        </w:rPr>
        <w:lastRenderedPageBreak/>
        <w:t>З</w:t>
      </w:r>
      <w:r>
        <w:rPr>
          <w:rFonts w:eastAsia="Times New Roman"/>
          <w:b/>
          <w:lang w:eastAsia="en-US"/>
        </w:rPr>
        <w:t>ауваження загального характеру</w:t>
      </w:r>
    </w:p>
    <w:p w:rsidR="008712A0" w:rsidRDefault="008E3EB1">
      <w:pPr>
        <w:shd w:val="clear" w:color="auto" w:fill="FFFFFF"/>
        <w:tabs>
          <w:tab w:val="left" w:pos="820"/>
        </w:tabs>
        <w:spacing w:before="120"/>
        <w:ind w:firstLine="709"/>
        <w:jc w:val="both"/>
        <w:rPr>
          <w:rFonts w:eastAsia="Times New Roman"/>
          <w:lang w:val="ru-RU" w:eastAsia="en-US"/>
        </w:rPr>
      </w:pPr>
      <w:r>
        <w:rPr>
          <w:rFonts w:eastAsia="Times New Roman"/>
          <w:lang w:eastAsia="en-US"/>
        </w:rPr>
        <w:t xml:space="preserve">За останні роки в країні спостерігається сталий відтік робочої сили за кордон.  Відтак, положення проекту, що пропонують скорочення </w:t>
      </w:r>
      <w:r>
        <w:rPr>
          <w:rFonts w:eastAsia="Times New Roman"/>
          <w:lang w:eastAsia="en-US"/>
        </w:rPr>
        <w:t>прав працюючих, на нашу думку, лише сприятимуть цьому процесу.</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Незаперечно, що світ змінюється і сучасний ринок праці висуває нові умови, які мають знаходити своє відображення у  правовому полі. Проте, як вже наголошувалося у висновках Головного управління</w:t>
      </w:r>
      <w:r>
        <w:rPr>
          <w:rFonts w:eastAsia="Times New Roman"/>
          <w:lang w:eastAsia="en-US"/>
        </w:rPr>
        <w:t>, сьогодні держава повинна виступати гарантом соціальної згуртованості на всіх рівнях. Законодавча підтримка державою</w:t>
      </w:r>
      <w:r>
        <w:rPr>
          <w:rFonts w:eastAsia="Times New Roman"/>
          <w:i/>
          <w:lang w:eastAsia="en-US"/>
        </w:rPr>
        <w:t xml:space="preserve"> працівника</w:t>
      </w:r>
      <w:r>
        <w:rPr>
          <w:rFonts w:eastAsia="Times New Roman"/>
          <w:lang w:eastAsia="en-US"/>
        </w:rPr>
        <w:t xml:space="preserve"> об’єктивно зумовлена і здійснюється у демократичних </w:t>
      </w:r>
      <w:proofErr w:type="spellStart"/>
      <w:r>
        <w:rPr>
          <w:rFonts w:eastAsia="Times New Roman"/>
          <w:lang w:eastAsia="en-US"/>
        </w:rPr>
        <w:t>крїнах</w:t>
      </w:r>
      <w:proofErr w:type="spellEnd"/>
      <w:r>
        <w:rPr>
          <w:rFonts w:eastAsia="Times New Roman"/>
          <w:lang w:eastAsia="en-US"/>
        </w:rPr>
        <w:t xml:space="preserve"> з огляду на  його позицію більш слабкої сторони у відносинах з робот</w:t>
      </w:r>
      <w:r>
        <w:rPr>
          <w:rFonts w:eastAsia="Times New Roman"/>
          <w:lang w:eastAsia="en-US"/>
        </w:rPr>
        <w:t xml:space="preserve">одавцем. Незважаючи та те, що внаслідок кризового стану економіки багато положень ще залишаються декларативними, соціальна функція в умовах переходу до ринкових відносин повинна бути провідною. </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 xml:space="preserve">Принагідно слід зазначити, що Україна є соціальною державою. </w:t>
      </w:r>
      <w:r>
        <w:rPr>
          <w:rFonts w:eastAsia="Times New Roman"/>
          <w:lang w:eastAsia="en-US"/>
        </w:rPr>
        <w:t>А в умовах становлення ринкової економіки соціальна функція держави набуває особливого значення. У багатьох розвинутих країнах спостерігається посилення уваги до інтересів і потреб окремої людини. Ця функція не зводиться тільки до охорони праці, а виявляєт</w:t>
      </w:r>
      <w:r>
        <w:rPr>
          <w:rFonts w:eastAsia="Times New Roman"/>
          <w:lang w:eastAsia="en-US"/>
        </w:rPr>
        <w:t xml:space="preserve">ься ще й у все більш повному закріпленні й забезпеченні прав людини у  сфері праці. </w:t>
      </w:r>
    </w:p>
    <w:p w:rsidR="008712A0" w:rsidRDefault="008712A0">
      <w:pPr>
        <w:shd w:val="clear" w:color="auto" w:fill="FFFFFF"/>
        <w:tabs>
          <w:tab w:val="left" w:pos="820"/>
        </w:tabs>
        <w:ind w:firstLine="709"/>
        <w:rPr>
          <w:rFonts w:eastAsia="Times New Roman"/>
          <w:b/>
          <w:lang w:eastAsia="en-US"/>
        </w:rPr>
      </w:pPr>
    </w:p>
    <w:p w:rsidR="008712A0" w:rsidRDefault="008E3EB1">
      <w:pPr>
        <w:shd w:val="clear" w:color="auto" w:fill="FFFFFF"/>
        <w:tabs>
          <w:tab w:val="left" w:pos="820"/>
        </w:tabs>
        <w:spacing w:before="120"/>
        <w:ind w:firstLine="709"/>
        <w:rPr>
          <w:rFonts w:eastAsia="Times New Roman"/>
          <w:b/>
          <w:lang w:eastAsia="en-US"/>
        </w:rPr>
      </w:pPr>
      <w:r>
        <w:rPr>
          <w:b/>
        </w:rPr>
        <w:t>Зауваження до окремих статей/положень законопроекту</w:t>
      </w:r>
    </w:p>
    <w:p w:rsidR="008712A0" w:rsidRDefault="008E3EB1">
      <w:pPr>
        <w:shd w:val="clear" w:color="auto" w:fill="FFFFFF"/>
        <w:tabs>
          <w:tab w:val="left" w:pos="820"/>
        </w:tabs>
        <w:spacing w:before="120"/>
        <w:ind w:firstLine="709"/>
        <w:jc w:val="both"/>
        <w:rPr>
          <w:rFonts w:eastAsia="Times New Roman"/>
          <w:lang w:eastAsia="en-US"/>
        </w:rPr>
      </w:pPr>
      <w:r>
        <w:rPr>
          <w:rFonts w:eastAsia="Times New Roman"/>
          <w:b/>
          <w:lang w:eastAsia="en-US"/>
        </w:rPr>
        <w:t>1.</w:t>
      </w:r>
      <w:r>
        <w:rPr>
          <w:rFonts w:eastAsia="Times New Roman"/>
          <w:lang w:eastAsia="en-US"/>
        </w:rPr>
        <w:t xml:space="preserve"> Окремі положення проекту містять юридичну невизначеність. Це суперечить ст. 8 Конституції України, відповідно до як</w:t>
      </w:r>
      <w:r>
        <w:rPr>
          <w:rFonts w:eastAsia="Times New Roman"/>
          <w:lang w:eastAsia="en-US"/>
        </w:rPr>
        <w:t>ої в Україні визнається та діє принцип верховенства права,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w:t>
      </w:r>
      <w:r>
        <w:rPr>
          <w:rFonts w:eastAsia="Times New Roman"/>
          <w:lang w:eastAsia="en-US"/>
        </w:rPr>
        <w:t xml:space="preserve">акове застосування і не виключає необмеженості трактування у правозастосовній практиці. На це також зверталася увага Конституційним Судом України у відповідних рішеннях </w:t>
      </w:r>
      <w:r>
        <w:rPr>
          <w:rFonts w:eastAsia="Times New Roman"/>
          <w:lang w:eastAsia="en-US"/>
        </w:rPr>
        <w:br/>
        <w:t>від 22.09.2005 № 5-рп, від 11.10.2011 № 10-рп.</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 xml:space="preserve">Європейським судом з прав людини також </w:t>
      </w:r>
      <w:r>
        <w:rPr>
          <w:rFonts w:eastAsia="Times New Roman"/>
          <w:lang w:eastAsia="en-US"/>
        </w:rPr>
        <w:t xml:space="preserve">неодноразово підкреслювалося,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w:t>
      </w:r>
      <w:r>
        <w:rPr>
          <w:rFonts w:eastAsia="Times New Roman"/>
          <w:lang w:eastAsia="en-US"/>
        </w:rPr>
        <w:t>бути доступним для зацікавлених осіб та сформульованим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w:t>
      </w:r>
      <w:r>
        <w:rPr>
          <w:rFonts w:eastAsia="Times New Roman"/>
          <w:lang w:eastAsia="en-US"/>
        </w:rPr>
        <w:t>тавин, наслідки, які може потягнути за собою його дія» (Рішення по справі «</w:t>
      </w:r>
      <w:proofErr w:type="spellStart"/>
      <w:r>
        <w:rPr>
          <w:rFonts w:eastAsia="Times New Roman"/>
          <w:lang w:eastAsia="en-US"/>
        </w:rPr>
        <w:t>Вєренцов</w:t>
      </w:r>
      <w:proofErr w:type="spellEnd"/>
      <w:r>
        <w:rPr>
          <w:rFonts w:eastAsia="Times New Roman"/>
          <w:lang w:eastAsia="en-US"/>
        </w:rPr>
        <w:t xml:space="preserve"> проти України» (Заява № 20372/11).</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1.1. Зокрема, у законопроекті пропонується включити до переліку випадків, що дають підстави для розірвання трудового договору з ініціатив</w:t>
      </w:r>
      <w:r>
        <w:rPr>
          <w:rFonts w:eastAsia="Times New Roman"/>
          <w:lang w:eastAsia="en-US"/>
        </w:rPr>
        <w:t xml:space="preserve">и </w:t>
      </w:r>
      <w:r>
        <w:rPr>
          <w:rFonts w:eastAsia="Times New Roman"/>
          <w:lang w:eastAsia="en-US"/>
        </w:rPr>
        <w:lastRenderedPageBreak/>
        <w:t>власника, такі, як: «невиконання розпоряджень роботодавця», «відсутність на роботі протягом робочого дня без поважних причин», «втрата довіри до працівника», «грубого порушення працівником вимог охорони праці, якщо воно призвело або створило реальну загр</w:t>
      </w:r>
      <w:r>
        <w:rPr>
          <w:rFonts w:eastAsia="Times New Roman"/>
          <w:lang w:eastAsia="en-US"/>
        </w:rPr>
        <w:t>озу…» тощо. Натомість значення цих юридичних конструкцій не розкрито, вони мають незрозумілий і нечіткий характер, можуть тлумачитися неоднозначно та містять оціночні судження.</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Крім того, подані пропозиції суперечать іншим правовим нормам КЗпП та потребуют</w:t>
      </w:r>
      <w:r>
        <w:rPr>
          <w:rFonts w:eastAsia="Times New Roman"/>
          <w:lang w:eastAsia="en-US"/>
        </w:rPr>
        <w:t>ь внесення відповідних змін для його внутрішнього узгодження. Наприклад, нормою ст. 31 КЗпП передбачено заборону вимагати виконання роботи, не обумовленої трудовим договором, натомість вимога виконання «розпорядження роботодавця» може стосуватися будь-яких</w:t>
      </w:r>
      <w:r>
        <w:rPr>
          <w:rFonts w:eastAsia="Times New Roman"/>
          <w:lang w:eastAsia="en-US"/>
        </w:rPr>
        <w:t xml:space="preserve"> питань, а не тільки безпосередніх посадових обов’язків.  </w:t>
      </w:r>
    </w:p>
    <w:p w:rsidR="008712A0" w:rsidRDefault="008E3EB1">
      <w:pPr>
        <w:shd w:val="clear" w:color="auto" w:fill="FFFFFF"/>
        <w:tabs>
          <w:tab w:val="left" w:pos="820"/>
        </w:tabs>
        <w:ind w:firstLine="709"/>
        <w:jc w:val="both"/>
      </w:pPr>
      <w:r>
        <w:rPr>
          <w:rFonts w:eastAsia="Times New Roman"/>
          <w:lang w:eastAsia="en-US"/>
        </w:rPr>
        <w:t xml:space="preserve">1.2.  Пункт 4 ч. 1 ст. 40 пропонованих змін до КЗпП визначає як підставу для звільнення «відсутність на роботі протягом робочого дня без поважних причин». Проте в умовах нетипових форм зайнятості, </w:t>
      </w:r>
      <w:r>
        <w:rPr>
          <w:rFonts w:eastAsia="Times New Roman"/>
          <w:lang w:eastAsia="en-US"/>
        </w:rPr>
        <w:t>а також роз’їзного характеру багатьох сучасних професій (журналісти, юристи тощо)  можливі зловживання роботодавців  при звільненні працівників, що були відсутні на закріпленому за ними робочому місці, втім, фактично виконували свою трудову функцію. Непоод</w:t>
      </w:r>
      <w:r>
        <w:rPr>
          <w:rFonts w:eastAsia="Times New Roman"/>
          <w:lang w:eastAsia="en-US"/>
        </w:rPr>
        <w:t>инокими є також випадки, коли працівник не мав можливості повідомити роботодавця про поважні причини своєї відсутності на робочому місці (раптова хвороба, форс-мажорні обставини). У цьому зв’язку варто зазначити, що у квітні 2016 році Міжнародна організаці</w:t>
      </w:r>
      <w:r>
        <w:rPr>
          <w:rFonts w:eastAsia="Times New Roman"/>
          <w:lang w:eastAsia="en-US"/>
        </w:rPr>
        <w:t>я праці у Меморандумі технічних зауважень до проекту Трудового кодексу (проект закону № 1658) у рекомендації № 41 зауважила: «Бюро рекомендує замінити статтю 92 проекту Трудового кодексу на такий текст: У разі необґрунтованої відсутності протягом одного аб</w:t>
      </w:r>
      <w:r>
        <w:rPr>
          <w:rFonts w:eastAsia="Times New Roman"/>
          <w:lang w:eastAsia="en-US"/>
        </w:rPr>
        <w:t xml:space="preserve">о двох днів поспіль роботодавець може </w:t>
      </w:r>
      <w:r>
        <w:rPr>
          <w:rFonts w:eastAsia="Times New Roman"/>
          <w:i/>
          <w:lang w:eastAsia="en-US"/>
        </w:rPr>
        <w:t>попередити</w:t>
      </w:r>
      <w:r>
        <w:rPr>
          <w:rFonts w:eastAsia="Times New Roman"/>
          <w:lang w:eastAsia="en-US"/>
        </w:rPr>
        <w:t xml:space="preserve"> працівника, що він/вона буде негайно звільнений у разі нез’явлення на роботу протягом шести місяців після першої необґрунтованої відсутності».</w:t>
      </w:r>
      <w:r>
        <w:rPr>
          <w:rStyle w:val="FootnoteAnchor"/>
        </w:rPr>
        <w:footnoteReference w:id="1"/>
      </w:r>
      <w:r>
        <w:rPr>
          <w:rFonts w:eastAsia="Times New Roman"/>
          <w:lang w:eastAsia="en-US"/>
        </w:rPr>
        <w:t xml:space="preserve"> Тому вважаємо, що час відсутності на робочому місці для визначе</w:t>
      </w:r>
      <w:r>
        <w:rPr>
          <w:rFonts w:eastAsia="Times New Roman"/>
          <w:lang w:eastAsia="en-US"/>
        </w:rPr>
        <w:t>ння прогулу потрібно збільшити порівняно з чинним законодавством про працю.</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1.3. Окремо слід звернути увагу на запропоноване проектом поняття «втрата довіри». Чинною нормою п. 2 ч. 1 ст. 41</w:t>
      </w:r>
      <w:r>
        <w:t xml:space="preserve"> </w:t>
      </w:r>
      <w:r>
        <w:rPr>
          <w:rFonts w:eastAsia="Times New Roman"/>
          <w:lang w:eastAsia="en-US"/>
        </w:rPr>
        <w:t xml:space="preserve">КЗпП передбачені додаткові підстави розірвання трудового договору </w:t>
      </w:r>
      <w:r>
        <w:rPr>
          <w:rFonts w:eastAsia="Times New Roman"/>
          <w:lang w:eastAsia="en-US"/>
        </w:rPr>
        <w:t>з ініціативи власника або уповноваженого ним органу з окремими категоріями працівників за певних умов, зокрема, у випадку «винних дій працівника, який безпосередньо обслуговує грошові, товарні або культурні цінності, якщо ці дії дають підстави для втрати д</w:t>
      </w:r>
      <w:r>
        <w:rPr>
          <w:rFonts w:eastAsia="Times New Roman"/>
          <w:lang w:eastAsia="en-US"/>
        </w:rPr>
        <w:t xml:space="preserve">овір’я до нього з боку власника або уповноваженого ним органу». </w:t>
      </w:r>
    </w:p>
    <w:p w:rsidR="008712A0" w:rsidRDefault="008E3EB1">
      <w:pPr>
        <w:shd w:val="clear" w:color="auto" w:fill="FFFFFF"/>
        <w:tabs>
          <w:tab w:val="left" w:pos="820"/>
        </w:tabs>
        <w:ind w:firstLine="709"/>
        <w:jc w:val="both"/>
        <w:rPr>
          <w:rFonts w:eastAsia="Times New Roman"/>
          <w:i/>
          <w:lang w:eastAsia="en-US"/>
        </w:rPr>
      </w:pPr>
      <w:r>
        <w:rPr>
          <w:rFonts w:eastAsia="Times New Roman"/>
          <w:lang w:eastAsia="en-US"/>
        </w:rPr>
        <w:t>Правовий аналіз цієї норми матеріального права дає підстави для висновку про те, що звільнення з підстави втрати довіри може вважатися обґрунтованим, якщо працівник, який безпосередньо обслуг</w:t>
      </w:r>
      <w:r>
        <w:rPr>
          <w:rFonts w:eastAsia="Times New Roman"/>
          <w:lang w:eastAsia="en-US"/>
        </w:rPr>
        <w:t xml:space="preserve">овує грошові або </w:t>
      </w:r>
      <w:r>
        <w:rPr>
          <w:rFonts w:eastAsia="Times New Roman"/>
          <w:lang w:eastAsia="en-US"/>
        </w:rPr>
        <w:lastRenderedPageBreak/>
        <w:t xml:space="preserve">товарні цінності (зайнятий їх прийманням, зберіганням, транспортуванням, розподілом і </w:t>
      </w:r>
      <w:proofErr w:type="spellStart"/>
      <w:r>
        <w:rPr>
          <w:rFonts w:eastAsia="Times New Roman"/>
          <w:lang w:eastAsia="en-US"/>
        </w:rPr>
        <w:t>т.п</w:t>
      </w:r>
      <w:proofErr w:type="spellEnd"/>
      <w:r>
        <w:rPr>
          <w:rFonts w:eastAsia="Times New Roman"/>
          <w:lang w:eastAsia="en-US"/>
        </w:rPr>
        <w:t>.),</w:t>
      </w:r>
      <w:r>
        <w:rPr>
          <w:rFonts w:eastAsia="Times New Roman"/>
          <w:i/>
          <w:lang w:eastAsia="en-US"/>
        </w:rPr>
        <w:t xml:space="preserve"> вчинив</w:t>
      </w:r>
      <w:r>
        <w:rPr>
          <w:rFonts w:eastAsia="Times New Roman"/>
          <w:lang w:eastAsia="en-US"/>
        </w:rPr>
        <w:t xml:space="preserve"> умисно або необережно такі дії, </w:t>
      </w:r>
      <w:r>
        <w:rPr>
          <w:rFonts w:eastAsia="Times New Roman"/>
          <w:i/>
          <w:lang w:eastAsia="en-US"/>
        </w:rPr>
        <w:t>які дають</w:t>
      </w:r>
      <w:r>
        <w:rPr>
          <w:rFonts w:eastAsia="Times New Roman"/>
          <w:lang w:eastAsia="en-US"/>
        </w:rPr>
        <w:t xml:space="preserve"> власнику або уповноваженому ним органу </w:t>
      </w:r>
      <w:r>
        <w:rPr>
          <w:rFonts w:eastAsia="Times New Roman"/>
          <w:i/>
          <w:u w:val="single"/>
          <w:lang w:eastAsia="en-US"/>
        </w:rPr>
        <w:t>підстави</w:t>
      </w:r>
      <w:r>
        <w:rPr>
          <w:rFonts w:eastAsia="Times New Roman"/>
          <w:lang w:eastAsia="en-US"/>
        </w:rPr>
        <w:t xml:space="preserve"> для втрати до нього довіри (зокрема, порушення пр</w:t>
      </w:r>
      <w:r>
        <w:rPr>
          <w:rFonts w:eastAsia="Times New Roman"/>
          <w:lang w:eastAsia="en-US"/>
        </w:rPr>
        <w:t>авил проведення операцій з матеріальними цінностями).</w:t>
      </w:r>
      <w:r>
        <w:t xml:space="preserve"> </w:t>
      </w:r>
      <w:r>
        <w:rPr>
          <w:rStyle w:val="FootnoteAnchor"/>
        </w:rPr>
        <w:footnoteReference w:id="2"/>
      </w:r>
    </w:p>
    <w:p w:rsidR="008712A0" w:rsidRDefault="008E3EB1">
      <w:pPr>
        <w:shd w:val="clear" w:color="auto" w:fill="FFFFFF"/>
        <w:tabs>
          <w:tab w:val="left" w:pos="820"/>
        </w:tabs>
        <w:ind w:firstLine="709"/>
        <w:jc w:val="both"/>
      </w:pPr>
      <w:r>
        <w:rPr>
          <w:rFonts w:eastAsia="Times New Roman"/>
          <w:lang w:eastAsia="en-US"/>
        </w:rPr>
        <w:t>Натомість проектом пропонується поширювати таку підставу для звільнення на всіх працівників (незалежно від наявності у них матеріальної відповідальності за втрату ввірених їм цінностей), що є недоціль</w:t>
      </w:r>
      <w:r>
        <w:rPr>
          <w:rFonts w:eastAsia="Times New Roman"/>
          <w:lang w:eastAsia="en-US"/>
        </w:rPr>
        <w:t>ним та таким, що може спонукати до зловживання з боку роботодавця.</w:t>
      </w:r>
      <w:r>
        <w:t xml:space="preserve"> </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 xml:space="preserve">Авторами надмірно деталізується порядок попередження про звільнення з такої підстави та виплати грошової компенсації при скороченні строку попередження, проте </w:t>
      </w:r>
      <w:r>
        <w:rPr>
          <w:rFonts w:eastAsia="Times New Roman"/>
          <w:i/>
          <w:lang w:eastAsia="en-US"/>
        </w:rPr>
        <w:t>жодних визначень сутності вчи</w:t>
      </w:r>
      <w:r>
        <w:rPr>
          <w:rFonts w:eastAsia="Times New Roman"/>
          <w:i/>
          <w:lang w:eastAsia="en-US"/>
        </w:rPr>
        <w:t>неного порушення,</w:t>
      </w:r>
      <w:r>
        <w:rPr>
          <w:rFonts w:eastAsia="Times New Roman"/>
          <w:lang w:eastAsia="en-US"/>
        </w:rPr>
        <w:t xml:space="preserve"> яке слугує причиною звільнення, опису поведінки суб’єктів,</w:t>
      </w:r>
      <w:r>
        <w:t xml:space="preserve"> </w:t>
      </w:r>
      <w:r>
        <w:rPr>
          <w:rFonts w:eastAsia="Times New Roman"/>
          <w:lang w:eastAsia="en-US"/>
        </w:rPr>
        <w:t xml:space="preserve">переліку доказів, що підтверджують винні дії працівника, </w:t>
      </w:r>
      <w:r>
        <w:rPr>
          <w:rFonts w:eastAsia="Times New Roman"/>
          <w:i/>
          <w:lang w:eastAsia="en-US"/>
        </w:rPr>
        <w:t>не наведено</w:t>
      </w:r>
      <w:r>
        <w:rPr>
          <w:rFonts w:eastAsia="Times New Roman"/>
          <w:lang w:eastAsia="en-US"/>
        </w:rPr>
        <w:t>.</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Незрозумілим та нелогічним загалом є запровадження диференціації строку, до сплину якого власник (</w:t>
      </w:r>
      <w:r>
        <w:rPr>
          <w:rFonts w:eastAsia="Times New Roman"/>
          <w:i/>
          <w:lang w:eastAsia="en-US"/>
        </w:rPr>
        <w:t xml:space="preserve">навіть </w:t>
      </w:r>
      <w:r>
        <w:rPr>
          <w:rFonts w:eastAsia="Times New Roman"/>
          <w:i/>
          <w:lang w:eastAsia="en-US"/>
        </w:rPr>
        <w:t>добросовісний</w:t>
      </w:r>
      <w:r>
        <w:rPr>
          <w:rFonts w:eastAsia="Times New Roman"/>
          <w:lang w:eastAsia="en-US"/>
        </w:rPr>
        <w:t xml:space="preserve">) має повідомити про рішення звільнити працівника, що втратив довіру, в залежності від терміну їх співпраці </w:t>
      </w:r>
      <w:r>
        <w:rPr>
          <w:rFonts w:eastAsia="Times New Roman"/>
          <w:i/>
          <w:lang w:eastAsia="en-US"/>
        </w:rPr>
        <w:t>(тобто, залишати від 15 днів до 3-х місяців на роботі працівника, який має доступ до цінностей та шкодить підприємству</w:t>
      </w:r>
      <w:r>
        <w:rPr>
          <w:rFonts w:eastAsia="Times New Roman"/>
          <w:lang w:eastAsia="en-US"/>
        </w:rPr>
        <w:t>) та ще й виплати</w:t>
      </w:r>
      <w:r>
        <w:rPr>
          <w:rFonts w:eastAsia="Times New Roman"/>
          <w:lang w:eastAsia="en-US"/>
        </w:rPr>
        <w:t xml:space="preserve">ти йому компенсацію. </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Відповідно до проекту, працівнику буде пропонуватися укладання додаткової угоди, що передбачає розірвання трудового договору на підставі втрати довіри, а у разі відмови працівника її підписати, трудовий договір розриватиметься роботод</w:t>
      </w:r>
      <w:r>
        <w:rPr>
          <w:rFonts w:eastAsia="Times New Roman"/>
          <w:lang w:eastAsia="en-US"/>
        </w:rPr>
        <w:t>авцем в односторонньому порядку шляхом надання працівнику відповідного повідомленням. Подібна норма є фактичним впровадженням у національне законодавство вкрай негативного явища «</w:t>
      </w:r>
      <w:proofErr w:type="spellStart"/>
      <w:r>
        <w:rPr>
          <w:rFonts w:eastAsia="Times New Roman"/>
          <w:lang w:eastAsia="en-US"/>
        </w:rPr>
        <w:t>at</w:t>
      </w:r>
      <w:proofErr w:type="spellEnd"/>
      <w:r>
        <w:rPr>
          <w:rFonts w:eastAsia="Times New Roman"/>
          <w:lang w:eastAsia="en-US"/>
        </w:rPr>
        <w:t xml:space="preserve"> </w:t>
      </w:r>
      <w:proofErr w:type="spellStart"/>
      <w:r>
        <w:rPr>
          <w:rFonts w:eastAsia="Times New Roman"/>
          <w:lang w:eastAsia="en-US"/>
        </w:rPr>
        <w:t>will</w:t>
      </w:r>
      <w:proofErr w:type="spellEnd"/>
      <w:r>
        <w:rPr>
          <w:rFonts w:eastAsia="Times New Roman"/>
          <w:lang w:eastAsia="en-US"/>
        </w:rPr>
        <w:t xml:space="preserve"> </w:t>
      </w:r>
      <w:proofErr w:type="spellStart"/>
      <w:r>
        <w:rPr>
          <w:rFonts w:eastAsia="Times New Roman"/>
          <w:lang w:eastAsia="en-US"/>
        </w:rPr>
        <w:t>employment</w:t>
      </w:r>
      <w:proofErr w:type="spellEnd"/>
      <w:r>
        <w:rPr>
          <w:rFonts w:eastAsia="Times New Roman"/>
          <w:lang w:eastAsia="en-US"/>
        </w:rPr>
        <w:t xml:space="preserve">», коли для звільнення працівника не потрібно нічого, крім </w:t>
      </w:r>
      <w:r>
        <w:rPr>
          <w:rFonts w:eastAsia="Times New Roman"/>
          <w:lang w:eastAsia="en-US"/>
        </w:rPr>
        <w:t>бажання роботодавця.</w:t>
      </w:r>
      <w:r>
        <w:t xml:space="preserve"> </w:t>
      </w:r>
    </w:p>
    <w:p w:rsidR="008712A0" w:rsidRDefault="008E3EB1">
      <w:pPr>
        <w:shd w:val="clear" w:color="auto" w:fill="FFFFFF"/>
        <w:tabs>
          <w:tab w:val="left" w:pos="820"/>
        </w:tabs>
        <w:ind w:firstLine="709"/>
        <w:jc w:val="both"/>
        <w:rPr>
          <w:rFonts w:eastAsia="Times New Roman"/>
          <w:lang w:eastAsia="en-US"/>
        </w:rPr>
      </w:pPr>
      <w:r>
        <w:rPr>
          <w:rFonts w:eastAsia="Times New Roman"/>
          <w:b/>
          <w:lang w:eastAsia="en-US"/>
        </w:rPr>
        <w:t>2.</w:t>
      </w:r>
      <w:r>
        <w:rPr>
          <w:rFonts w:eastAsia="Times New Roman"/>
          <w:lang w:eastAsia="en-US"/>
        </w:rPr>
        <w:t xml:space="preserve"> Конституцією України (ст. 24) передбачено рівність прав жінки і чоловіка, яка забезпечується в </w:t>
      </w:r>
      <w:proofErr w:type="spellStart"/>
      <w:r>
        <w:rPr>
          <w:rFonts w:eastAsia="Times New Roman"/>
          <w:lang w:eastAsia="en-US"/>
        </w:rPr>
        <w:t>т.ч</w:t>
      </w:r>
      <w:proofErr w:type="spellEnd"/>
      <w:r>
        <w:rPr>
          <w:rFonts w:eastAsia="Times New Roman"/>
          <w:lang w:eastAsia="en-US"/>
        </w:rPr>
        <w:t>. «спеціальними заходами щодо охорони праці і здоров’я жінок»; «створенням умов, які дають жінкам можливість поєднувати працю з матер</w:t>
      </w:r>
      <w:r>
        <w:rPr>
          <w:rFonts w:eastAsia="Times New Roman"/>
          <w:lang w:eastAsia="en-US"/>
        </w:rPr>
        <w:t>инством; правовим захистом, матеріальною і моральною підтримкою материнства і дитинства, включаючи надання оплачуваних відпусток та інших пільг вагітним жінкам і матерям». Натомість законопроектом пропонується зменшити їх трудові гарантії. Зокрема, передба</w:t>
      </w:r>
      <w:r>
        <w:rPr>
          <w:rFonts w:eastAsia="Times New Roman"/>
          <w:lang w:eastAsia="en-US"/>
        </w:rPr>
        <w:t>чається вилучити норму щодо заборони звільнення вагітних жінок і жінок, які перебувають у відпустці по догляду за дитиною до 3-х (6-ти) років, у випадку звільнення з «причин, не пов’язаних з вагітністю або народженням дитини й наслідками цього або з годува</w:t>
      </w:r>
      <w:r>
        <w:rPr>
          <w:rFonts w:eastAsia="Times New Roman"/>
          <w:lang w:eastAsia="en-US"/>
        </w:rPr>
        <w:t>нням дитини». Тягар доведення того, що причини звільнення не пов’язані з вагітністю або пологами і з наслідками цього або з годуванням дитини, пропонується покласти на роботодавця. Таким чином, скасовується заборона на звільнення з ініціативи власника вагі</w:t>
      </w:r>
      <w:r>
        <w:rPr>
          <w:rFonts w:eastAsia="Times New Roman"/>
          <w:lang w:eastAsia="en-US"/>
        </w:rPr>
        <w:t xml:space="preserve">тних, </w:t>
      </w:r>
      <w:r>
        <w:rPr>
          <w:rFonts w:eastAsia="Times New Roman"/>
          <w:lang w:eastAsia="en-US"/>
        </w:rPr>
        <w:lastRenderedPageBreak/>
        <w:t>жінок, які мають дітей до 3-х (6-ти) років, але вийшли на роботу, одиноких матерів при наявності дитини віком до чотирнадцяти років або дитини з інвалідністю, а також право на обов’язкове працевлаштування таких жінок у випадку повної ліквідації підпр</w:t>
      </w:r>
      <w:r>
        <w:rPr>
          <w:rFonts w:eastAsia="Times New Roman"/>
          <w:lang w:eastAsia="en-US"/>
        </w:rPr>
        <w:t>иємства, установи, організації.</w:t>
      </w:r>
      <w:r>
        <w:t xml:space="preserve"> </w:t>
      </w:r>
      <w:r>
        <w:rPr>
          <w:rFonts w:eastAsia="Times New Roman"/>
          <w:lang w:eastAsia="en-US"/>
        </w:rPr>
        <w:t>Також залишається незрозумілим, що таке «причини, не пов'язані з вагітністю або народженням дитини й наслідками цього або з годуванням дитини».</w:t>
      </w:r>
    </w:p>
    <w:p w:rsidR="008712A0" w:rsidRDefault="008E3EB1">
      <w:pPr>
        <w:shd w:val="clear" w:color="auto" w:fill="FFFFFF"/>
        <w:tabs>
          <w:tab w:val="left" w:pos="820"/>
        </w:tabs>
        <w:ind w:firstLine="709"/>
        <w:jc w:val="both"/>
      </w:pPr>
      <w:r>
        <w:rPr>
          <w:rFonts w:eastAsia="Times New Roman"/>
          <w:b/>
          <w:lang w:eastAsia="en-US"/>
        </w:rPr>
        <w:t>3.</w:t>
      </w:r>
      <w:r>
        <w:rPr>
          <w:rFonts w:eastAsia="Times New Roman"/>
          <w:lang w:eastAsia="en-US"/>
        </w:rPr>
        <w:t xml:space="preserve"> Проектом пропонується доповнити норму щодо обмеження можливості розірвання тр</w:t>
      </w:r>
      <w:r>
        <w:rPr>
          <w:rFonts w:eastAsia="Times New Roman"/>
          <w:lang w:eastAsia="en-US"/>
        </w:rPr>
        <w:t>удового договору з ініціативи власника низкою заборон на таке звільнення. Натомість слід зазначити, що такі пропозиції вже реалізовані в законодавстві України та є чинними нормами і не тільки щодо вирішення питання про звільнення, але й в усіх випадках про</w:t>
      </w:r>
      <w:r>
        <w:rPr>
          <w:rFonts w:eastAsia="Times New Roman"/>
          <w:lang w:eastAsia="en-US"/>
        </w:rPr>
        <w:t xml:space="preserve">тягом трудових відносин. </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Так, ст. 24 Конституції України прямо передбачено, що громадяни мають рівні конституційні права і свободи та є рівними перед законом. Не може бути привілеїв чи обмежень за ознаками раси, кольору шкіри, політичних, релігійних та ін</w:t>
      </w:r>
      <w:r>
        <w:rPr>
          <w:rFonts w:eastAsia="Times New Roman"/>
          <w:lang w:eastAsia="en-US"/>
        </w:rPr>
        <w:t xml:space="preserve">ших переконань, статі, етнічного та соціального походження, майнового стану, місця проживання, за </w:t>
      </w:r>
      <w:proofErr w:type="spellStart"/>
      <w:r>
        <w:rPr>
          <w:rFonts w:eastAsia="Times New Roman"/>
          <w:lang w:eastAsia="en-US"/>
        </w:rPr>
        <w:t>мовними</w:t>
      </w:r>
      <w:proofErr w:type="spellEnd"/>
      <w:r>
        <w:rPr>
          <w:rFonts w:eastAsia="Times New Roman"/>
          <w:lang w:eastAsia="en-US"/>
        </w:rPr>
        <w:t xml:space="preserve"> або іншими ознаками. </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Чинною нормою ст. 2-1 КЗпП забороняється будь-яка дискримінація у сфері праці, зокрема, порушення принципу рівності прав і можли</w:t>
      </w:r>
      <w:r>
        <w:rPr>
          <w:rFonts w:eastAsia="Times New Roman"/>
          <w:lang w:eastAsia="en-US"/>
        </w:rPr>
        <w:t xml:space="preserve">востей, пряме або непряме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w:t>
      </w:r>
      <w:r>
        <w:rPr>
          <w:rFonts w:eastAsia="Times New Roman"/>
          <w:lang w:eastAsia="en-US"/>
        </w:rPr>
        <w:t>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w:t>
      </w:r>
      <w:r>
        <w:rPr>
          <w:rFonts w:eastAsia="Times New Roman"/>
          <w:lang w:eastAsia="en-US"/>
        </w:rPr>
        <w:t xml:space="preserve"> органів за захистом своїх прав або надання підтримки іншим працівникам у захисті їх прав, за </w:t>
      </w:r>
      <w:proofErr w:type="spellStart"/>
      <w:r>
        <w:rPr>
          <w:rFonts w:eastAsia="Times New Roman"/>
          <w:lang w:eastAsia="en-US"/>
        </w:rPr>
        <w:t>мовними</w:t>
      </w:r>
      <w:proofErr w:type="spellEnd"/>
      <w:r>
        <w:rPr>
          <w:rFonts w:eastAsia="Times New Roman"/>
          <w:lang w:eastAsia="en-US"/>
        </w:rPr>
        <w:t xml:space="preserve"> або іншими ознаками, не пов’язаними з характером роботи або умовами її виконання. </w:t>
      </w:r>
    </w:p>
    <w:p w:rsidR="008712A0" w:rsidRDefault="008E3EB1">
      <w:pPr>
        <w:shd w:val="clear" w:color="auto" w:fill="FFFFFF"/>
        <w:tabs>
          <w:tab w:val="left" w:pos="820"/>
        </w:tabs>
        <w:ind w:firstLine="709"/>
        <w:jc w:val="both"/>
      </w:pPr>
      <w:r>
        <w:rPr>
          <w:rFonts w:eastAsia="Times New Roman"/>
          <w:b/>
          <w:lang w:eastAsia="en-US"/>
        </w:rPr>
        <w:t>4.</w:t>
      </w:r>
      <w:r>
        <w:rPr>
          <w:rFonts w:eastAsia="Times New Roman"/>
          <w:lang w:eastAsia="en-US"/>
        </w:rPr>
        <w:t xml:space="preserve"> Статтею 2 Закону України «Про професійні спілки, їх права та гарантії діяльності» визначено, що професійні спілки створюються з метою здійснення представництва та </w:t>
      </w:r>
      <w:r>
        <w:rPr>
          <w:rFonts w:eastAsia="Times New Roman"/>
          <w:i/>
          <w:lang w:eastAsia="en-US"/>
        </w:rPr>
        <w:t xml:space="preserve">захисту </w:t>
      </w:r>
      <w:r>
        <w:rPr>
          <w:rFonts w:eastAsia="Times New Roman"/>
          <w:lang w:eastAsia="en-US"/>
        </w:rPr>
        <w:t>трудових, соціально-економічних прав та інтересів членів профспілки (право на об’єдн</w:t>
      </w:r>
      <w:r>
        <w:rPr>
          <w:rFonts w:eastAsia="Times New Roman"/>
          <w:lang w:eastAsia="en-US"/>
        </w:rPr>
        <w:t>ання у профспілки та гарантії їх функціонування закріплено у ратифікованій Україною Конвенції Міжнародної організації праці № 87). Одним з елементів зазначеної захисної функції є надання згоди виборним органом первинної профспілкової організації, членом як</w:t>
      </w:r>
      <w:r>
        <w:rPr>
          <w:rFonts w:eastAsia="Times New Roman"/>
          <w:lang w:eastAsia="en-US"/>
        </w:rPr>
        <w:t>ої є працівник, на розірвання трудового договору з ініціативи роботодавця. Зазначений механізм захисту трудових прав працівників є елементом здійснення громадського контролю за додержанням законодавства про працю, а також запобіжником від свавілля роботода</w:t>
      </w:r>
      <w:r>
        <w:rPr>
          <w:rFonts w:eastAsia="Times New Roman"/>
          <w:lang w:eastAsia="en-US"/>
        </w:rPr>
        <w:t>вця.</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 xml:space="preserve">Натомість проектом пропонується вилучити законодавчі гарантії на отримання попередньої згоди профспілки при розірванні трудового договору з ініціативи власника, а також виключити з повноважень виборного органу </w:t>
      </w:r>
      <w:r>
        <w:rPr>
          <w:rFonts w:eastAsia="Times New Roman"/>
          <w:lang w:eastAsia="en-US"/>
        </w:rPr>
        <w:lastRenderedPageBreak/>
        <w:t>первинної профспілкової організації право</w:t>
      </w:r>
      <w:r>
        <w:rPr>
          <w:rFonts w:eastAsia="Times New Roman"/>
          <w:lang w:eastAsia="en-US"/>
        </w:rPr>
        <w:t xml:space="preserve"> погоджувати/не погоджувати звільнення працівника (члена профспілки) з ініціативи роботодавця.</w:t>
      </w:r>
    </w:p>
    <w:p w:rsidR="008712A0" w:rsidRDefault="008E3EB1">
      <w:pPr>
        <w:shd w:val="clear" w:color="auto" w:fill="FFFFFF"/>
        <w:tabs>
          <w:tab w:val="left" w:pos="820"/>
        </w:tabs>
        <w:ind w:firstLine="709"/>
        <w:jc w:val="both"/>
        <w:rPr>
          <w:rFonts w:eastAsia="Times New Roman"/>
          <w:lang w:eastAsia="en-US"/>
        </w:rPr>
      </w:pPr>
      <w:r>
        <w:rPr>
          <w:rFonts w:eastAsia="Times New Roman"/>
          <w:lang w:eastAsia="en-US"/>
        </w:rPr>
        <w:t xml:space="preserve">Такі пропозиції, в разі їх реалізації, фактично зменшують обсяг прав близько 5 мільйонів членів профспілок та порушують конституційний принцип, викладений у ст. </w:t>
      </w:r>
      <w:r>
        <w:rPr>
          <w:rFonts w:eastAsia="Times New Roman"/>
          <w:lang w:eastAsia="en-US"/>
        </w:rPr>
        <w:t>22 Конституції України – при прийнятті нових законів або внесенні змін до чинних законів не допускається звуження змісту та обсягу існуючих прав і свобод.</w:t>
      </w:r>
    </w:p>
    <w:p w:rsidR="008712A0" w:rsidRDefault="008E3EB1">
      <w:pPr>
        <w:shd w:val="clear" w:color="auto" w:fill="FFFFFF"/>
        <w:tabs>
          <w:tab w:val="left" w:pos="820"/>
        </w:tabs>
        <w:ind w:firstLine="709"/>
        <w:jc w:val="both"/>
        <w:rPr>
          <w:rFonts w:eastAsia="Times New Roman"/>
          <w:lang w:eastAsia="en-US"/>
        </w:rPr>
      </w:pPr>
      <w:r>
        <w:rPr>
          <w:rFonts w:eastAsia="Times New Roman"/>
          <w:b/>
          <w:lang w:eastAsia="en-US"/>
        </w:rPr>
        <w:t>5.</w:t>
      </w:r>
      <w:r>
        <w:rPr>
          <w:rFonts w:eastAsia="Times New Roman"/>
          <w:lang w:eastAsia="en-US"/>
        </w:rPr>
        <w:t xml:space="preserve"> Законопроект має певні недоліки техніко-юридичного характеру, (зокрема, щодо нумерації пунктів та </w:t>
      </w:r>
      <w:r>
        <w:rPr>
          <w:rFonts w:eastAsia="Times New Roman"/>
          <w:lang w:eastAsia="en-US"/>
        </w:rPr>
        <w:t>їх змісту), граматичні помилки у пояснювальній записці до нього.</w:t>
      </w:r>
    </w:p>
    <w:p w:rsidR="008712A0" w:rsidRDefault="008712A0">
      <w:pPr>
        <w:autoSpaceDE w:val="0"/>
        <w:jc w:val="both"/>
        <w:rPr>
          <w:rFonts w:eastAsia="Times New Roman"/>
          <w:spacing w:val="-5"/>
          <w:u w:val="single"/>
          <w:lang w:eastAsia="uk-UA"/>
        </w:rPr>
      </w:pPr>
    </w:p>
    <w:p w:rsidR="008712A0" w:rsidRDefault="008E3EB1">
      <w:pPr>
        <w:autoSpaceDE w:val="0"/>
        <w:ind w:firstLine="709"/>
        <w:jc w:val="both"/>
        <w:rPr>
          <w:spacing w:val="-5"/>
          <w:lang w:eastAsia="uk-UA"/>
        </w:rPr>
      </w:pPr>
      <w:r>
        <w:rPr>
          <w:spacing w:val="-5"/>
          <w:lang w:eastAsia="uk-UA"/>
        </w:rPr>
        <w:t xml:space="preserve">Узагальнюючий висновок: </w:t>
      </w:r>
      <w:r>
        <w:t>за результатом розгляду у першому читанні законопроект доцільно відхилити.</w:t>
      </w:r>
    </w:p>
    <w:p w:rsidR="008712A0" w:rsidRDefault="008712A0">
      <w:pPr>
        <w:ind w:firstLine="709"/>
        <w:jc w:val="both"/>
        <w:rPr>
          <w:spacing w:val="-5"/>
          <w:lang w:eastAsia="uk-UA"/>
        </w:rPr>
      </w:pPr>
    </w:p>
    <w:p w:rsidR="008712A0" w:rsidRDefault="008712A0">
      <w:pPr>
        <w:ind w:firstLine="709"/>
        <w:jc w:val="both"/>
      </w:pPr>
    </w:p>
    <w:p w:rsidR="008712A0" w:rsidRDefault="008E3EB1">
      <w:pPr>
        <w:ind w:firstLine="709"/>
        <w:jc w:val="both"/>
      </w:pPr>
      <w:r>
        <w:t xml:space="preserve">Керівник Головного управління                                                С. </w:t>
      </w:r>
      <w:proofErr w:type="spellStart"/>
      <w:r>
        <w:t>Тихонюк</w:t>
      </w:r>
      <w:proofErr w:type="spellEnd"/>
    </w:p>
    <w:p w:rsidR="008712A0" w:rsidRDefault="008712A0">
      <w:pPr>
        <w:ind w:firstLine="709"/>
        <w:jc w:val="both"/>
      </w:pPr>
    </w:p>
    <w:p w:rsidR="008712A0" w:rsidRDefault="008712A0">
      <w:pPr>
        <w:ind w:firstLine="709"/>
        <w:jc w:val="both"/>
        <w:rPr>
          <w:color w:val="000000"/>
          <w:sz w:val="20"/>
          <w:szCs w:val="20"/>
          <w:lang w:eastAsia="en-US"/>
        </w:rPr>
      </w:pPr>
    </w:p>
    <w:p w:rsidR="008712A0" w:rsidRDefault="008E3EB1">
      <w:pPr>
        <w:ind w:firstLine="709"/>
        <w:jc w:val="both"/>
        <w:rPr>
          <w:color w:val="000000"/>
          <w:sz w:val="20"/>
          <w:szCs w:val="20"/>
          <w:lang w:eastAsia="en-US"/>
        </w:rPr>
      </w:pPr>
      <w:proofErr w:type="spellStart"/>
      <w:r>
        <w:rPr>
          <w:color w:val="000000"/>
          <w:sz w:val="20"/>
          <w:szCs w:val="20"/>
          <w:lang w:eastAsia="en-US"/>
        </w:rPr>
        <w:t>Вик</w:t>
      </w:r>
      <w:proofErr w:type="spellEnd"/>
      <w:r>
        <w:rPr>
          <w:color w:val="000000"/>
          <w:sz w:val="20"/>
          <w:szCs w:val="20"/>
          <w:lang w:eastAsia="en-US"/>
        </w:rPr>
        <w:t>.:  Демчук Л.</w:t>
      </w:r>
    </w:p>
    <w:p w:rsidR="008712A0" w:rsidRDefault="008712A0">
      <w:pPr>
        <w:ind w:firstLine="709"/>
        <w:jc w:val="both"/>
        <w:rPr>
          <w:color w:val="000000"/>
          <w:sz w:val="24"/>
          <w:szCs w:val="24"/>
          <w:lang w:eastAsia="en-US"/>
        </w:rPr>
      </w:pPr>
    </w:p>
    <w:p w:rsidR="008712A0" w:rsidRDefault="008E3EB1">
      <w:pPr>
        <w:ind w:firstLine="709"/>
        <w:jc w:val="both"/>
        <w:rPr>
          <w:rFonts w:ascii="Calibri" w:hAnsi="Calibri" w:cs="Calibri"/>
        </w:rPr>
      </w:pPr>
      <w:r>
        <w:rPr>
          <w:rFonts w:ascii="Calibri" w:hAnsi="Calibri" w:cs="Calibri"/>
        </w:rPr>
        <w:t xml:space="preserve"> </w:t>
      </w:r>
    </w:p>
    <w:sectPr w:rsidR="008712A0" w:rsidSect="004336E7">
      <w:headerReference w:type="default" r:id="rId7"/>
      <w:footerReference w:type="default" r:id="rId8"/>
      <w:headerReference w:type="first" r:id="rId9"/>
      <w:pgSz w:w="11906" w:h="16838"/>
      <w:pgMar w:top="1134" w:right="851" w:bottom="1134" w:left="1701" w:header="357"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E3EB1">
      <w:r>
        <w:separator/>
      </w:r>
    </w:p>
  </w:endnote>
  <w:endnote w:type="continuationSeparator" w:id="0">
    <w:p w:rsidR="00000000" w:rsidRDefault="008E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1"/>
    <w:family w:val="roman"/>
    <w:pitch w:val="variable"/>
  </w:font>
  <w:font w:name="WenQuanYi Micro Hei">
    <w:panose1 w:val="00000000000000000000"/>
    <w:charset w:val="00"/>
    <w:family w:val="roman"/>
    <w:notTrueType/>
    <w:pitch w:val="default"/>
  </w:font>
  <w:font w:name="Noto Sans Devanagari">
    <w:panose1 w:val="00000000000000000000"/>
    <w:charset w:val="00"/>
    <w:family w:val="roman"/>
    <w:notTrueType/>
    <w:pitch w:val="default"/>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Antiqua;Courier New">
    <w:panose1 w:val="00000000000000000000"/>
    <w:charset w:val="00"/>
    <w:family w:val="roman"/>
    <w:notTrueType/>
    <w:pitch w:val="default"/>
  </w:font>
  <w:font w:name="Liberation Sans">
    <w:altName w:val="Arial"/>
    <w:charset w:val="01"/>
    <w:family w:val="swiss"/>
    <w:pitch w:val="variable"/>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2A0" w:rsidRDefault="008712A0">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2A0" w:rsidRDefault="008E3EB1">
      <w:r>
        <w:separator/>
      </w:r>
    </w:p>
  </w:footnote>
  <w:footnote w:type="continuationSeparator" w:id="0">
    <w:p w:rsidR="008712A0" w:rsidRDefault="008E3EB1">
      <w:r>
        <w:continuationSeparator/>
      </w:r>
    </w:p>
  </w:footnote>
  <w:footnote w:id="1">
    <w:p w:rsidR="008712A0" w:rsidRDefault="008E3EB1">
      <w:pPr>
        <w:pStyle w:val="af"/>
        <w:jc w:val="both"/>
      </w:pPr>
      <w:r>
        <w:rPr>
          <w:rStyle w:val="FootnoteCharacters"/>
        </w:rPr>
        <w:footnoteRef/>
      </w:r>
      <w:r>
        <w:rPr>
          <w:rFonts w:eastAsia="Times New Roman"/>
          <w:lang w:eastAsia="en-US"/>
        </w:rPr>
        <w:t>Меморандум технічних зауважень до проекту Трудового кодексу,</w:t>
      </w:r>
      <w:r>
        <w:t xml:space="preserve"> режим доступу: </w:t>
      </w:r>
      <w:hyperlink r:id="rId1">
        <w:r w:rsidRPr="00420810">
          <w:rPr>
            <w:rStyle w:val="InternetLink"/>
            <w:color w:val="000000" w:themeColor="text1"/>
            <w:u w:val="none"/>
          </w:rPr>
          <w:t>http://publications.chamber.ua/2016/HR/Ukraine%20Labour%20Law%20draft%20Tech%20Mem_April%202016.pdf</w:t>
        </w:r>
      </w:hyperlink>
    </w:p>
  </w:footnote>
  <w:footnote w:id="2">
    <w:p w:rsidR="008712A0" w:rsidRDefault="008E3EB1">
      <w:pPr>
        <w:pStyle w:val="af"/>
        <w:jc w:val="both"/>
      </w:pPr>
      <w:r>
        <w:rPr>
          <w:rStyle w:val="FootnoteCharacters"/>
        </w:rPr>
        <w:footnoteRef/>
      </w:r>
      <w:r>
        <w:rPr>
          <w:rFonts w:eastAsia="Times New Roman"/>
        </w:rPr>
        <w:t xml:space="preserve"> </w:t>
      </w:r>
      <w:r>
        <w:t>Постанова ВСУ у справі № 6-100ц</w:t>
      </w:r>
      <w:r>
        <w:t xml:space="preserve">с16 від 20 квітня 2016 року </w:t>
      </w:r>
      <w:hyperlink r:id="rId2">
        <w:r w:rsidRPr="00820A8B">
          <w:rPr>
            <w:rStyle w:val="InternetLink"/>
            <w:color w:val="000000" w:themeColor="text1"/>
            <w:u w:val="none"/>
          </w:rPr>
          <w:t>http://www.viaduk.net/clients/vsu/vsu.nsf/</w:t>
        </w:r>
      </w:hyperlink>
      <w:r>
        <w:t>(documents)/C9B2FB5A118E54CBC2257FA40030228A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2A0" w:rsidRDefault="008E3EB1">
    <w:pPr>
      <w:pStyle w:val="aa"/>
      <w:jc w:val="right"/>
    </w:pPr>
    <w:r>
      <w:fldChar w:fldCharType="begin"/>
    </w:r>
    <w:r>
      <w:instrText>PAGE</w:instrText>
    </w:r>
    <w:r>
      <w:fldChar w:fldCharType="separate"/>
    </w:r>
    <w:r>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2A0" w:rsidRDefault="008E3EB1">
    <w:pPr>
      <w:pStyle w:val="aa"/>
      <w:spacing w:after="0" w:line="240" w:lineRule="auto"/>
      <w:jc w:val="right"/>
      <w:rPr>
        <w:sz w:val="20"/>
        <w:szCs w:val="20"/>
        <w:lang w:val="ru-RU"/>
      </w:rPr>
    </w:pPr>
    <w:r w:rsidRPr="004336E7">
      <w:rPr>
        <w:sz w:val="20"/>
        <w:szCs w:val="20"/>
        <w:lang w:val="ru-RU"/>
      </w:rPr>
      <w:t xml:space="preserve">До </w:t>
    </w:r>
    <w:proofErr w:type="spellStart"/>
    <w:r w:rsidRPr="004336E7">
      <w:rPr>
        <w:sz w:val="20"/>
        <w:szCs w:val="20"/>
        <w:lang w:val="ru-RU"/>
      </w:rPr>
      <w:t>реєстр</w:t>
    </w:r>
    <w:proofErr w:type="spellEnd"/>
    <w:r w:rsidRPr="004336E7">
      <w:rPr>
        <w:sz w:val="20"/>
        <w:szCs w:val="20"/>
        <w:lang w:val="ru-RU"/>
      </w:rPr>
      <w:t xml:space="preserve">. № 2584 </w:t>
    </w:r>
    <w:proofErr w:type="spellStart"/>
    <w:r w:rsidRPr="004336E7">
      <w:rPr>
        <w:sz w:val="20"/>
        <w:szCs w:val="20"/>
        <w:lang w:val="ru-RU"/>
      </w:rPr>
      <w:t>від</w:t>
    </w:r>
    <w:proofErr w:type="spellEnd"/>
    <w:r>
      <w:rPr>
        <w:sz w:val="20"/>
        <w:szCs w:val="20"/>
        <w:lang w:val="ru-RU"/>
      </w:rPr>
      <w:t xml:space="preserve"> 12.12.2019</w:t>
    </w:r>
  </w:p>
  <w:p w:rsidR="008712A0" w:rsidRPr="004336E7" w:rsidRDefault="008E3EB1">
    <w:pPr>
      <w:pStyle w:val="aa"/>
      <w:spacing w:after="0" w:line="240" w:lineRule="auto"/>
      <w:jc w:val="right"/>
      <w:rPr>
        <w:sz w:val="20"/>
        <w:szCs w:val="20"/>
        <w:lang w:val="ru-RU"/>
      </w:rPr>
    </w:pPr>
    <w:proofErr w:type="spellStart"/>
    <w:r>
      <w:rPr>
        <w:sz w:val="20"/>
        <w:szCs w:val="20"/>
        <w:lang w:val="ru-RU"/>
      </w:rPr>
      <w:t>Народні</w:t>
    </w:r>
    <w:proofErr w:type="spellEnd"/>
    <w:r>
      <w:rPr>
        <w:sz w:val="20"/>
        <w:szCs w:val="20"/>
        <w:lang w:val="ru-RU"/>
      </w:rPr>
      <w:t xml:space="preserve"> </w:t>
    </w:r>
    <w:proofErr w:type="spellStart"/>
    <w:r>
      <w:rPr>
        <w:sz w:val="20"/>
        <w:szCs w:val="20"/>
        <w:lang w:val="ru-RU"/>
      </w:rPr>
      <w:t>депутати</w:t>
    </w:r>
    <w:proofErr w:type="spellEnd"/>
    <w:r>
      <w:rPr>
        <w:sz w:val="20"/>
        <w:szCs w:val="20"/>
        <w:lang w:val="ru-RU"/>
      </w:rPr>
      <w:t xml:space="preserve"> </w:t>
    </w:r>
    <w:proofErr w:type="spellStart"/>
    <w:r>
      <w:rPr>
        <w:sz w:val="20"/>
        <w:szCs w:val="20"/>
        <w:lang w:val="ru-RU"/>
      </w:rPr>
      <w:t>України</w:t>
    </w:r>
    <w:proofErr w:type="spellEnd"/>
  </w:p>
  <w:p w:rsidR="008712A0" w:rsidRDefault="008E3EB1">
    <w:pPr>
      <w:pStyle w:val="aa"/>
      <w:spacing w:after="0" w:line="240" w:lineRule="auto"/>
      <w:jc w:val="right"/>
      <w:rPr>
        <w:sz w:val="20"/>
        <w:szCs w:val="20"/>
        <w:lang w:val="ru-RU"/>
      </w:rPr>
    </w:pPr>
    <w:proofErr w:type="spellStart"/>
    <w:r>
      <w:rPr>
        <w:sz w:val="20"/>
        <w:szCs w:val="20"/>
        <w:lang w:val="ru-RU"/>
      </w:rPr>
      <w:t>Г.М.Третьякова</w:t>
    </w:r>
    <w:proofErr w:type="spellEnd"/>
    <w:r>
      <w:rPr>
        <w:sz w:val="20"/>
        <w:szCs w:val="20"/>
        <w:lang w:val="ru-RU"/>
      </w:rPr>
      <w:t xml:space="preserve"> та </w:t>
    </w:r>
    <w:proofErr w:type="spellStart"/>
    <w:r>
      <w:rPr>
        <w:sz w:val="20"/>
        <w:szCs w:val="20"/>
        <w:lang w:val="ru-RU"/>
      </w:rPr>
      <w:t>інші</w:t>
    </w:r>
    <w:proofErr w:type="spellEnd"/>
  </w:p>
  <w:p w:rsidR="008712A0" w:rsidRDefault="008712A0">
    <w:pPr>
      <w:pStyle w:val="aa"/>
      <w:spacing w:after="0" w:line="240" w:lineRule="auto"/>
      <w:jc w:val="right"/>
      <w:rPr>
        <w:sz w:val="20"/>
        <w:szCs w:val="20"/>
        <w:lang w:val="ru-RU"/>
      </w:rPr>
    </w:pPr>
  </w:p>
  <w:p w:rsidR="008712A0" w:rsidRDefault="008712A0">
    <w:pPr>
      <w:pStyle w:val="aa"/>
      <w:spacing w:after="0" w:line="240" w:lineRule="auto"/>
      <w:jc w:val="right"/>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14CC3"/>
    <w:multiLevelType w:val="multilevel"/>
    <w:tmpl w:val="53C8B7E0"/>
    <w:lvl w:ilvl="0">
      <w:start w:val="1"/>
      <w:numFmt w:val="none"/>
      <w:pStyle w:val="1"/>
      <w:suff w:val="nothing"/>
      <w:lvlText w:val=""/>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2A0"/>
    <w:rsid w:val="000F7DEE"/>
    <w:rsid w:val="00136E49"/>
    <w:rsid w:val="00420810"/>
    <w:rsid w:val="004336E7"/>
    <w:rsid w:val="006376CE"/>
    <w:rsid w:val="00820A8B"/>
    <w:rsid w:val="008712A0"/>
    <w:rsid w:val="008E3EB1"/>
    <w:rsid w:val="00A15796"/>
    <w:rsid w:val="00B17AE7"/>
    <w:rsid w:val="00FC1A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1CA7"/>
  <w15:docId w15:val="{DB688A5B-AFAB-45A3-924F-564D1F408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sz w:val="24"/>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Calibri" w:hAnsi="Times New Roman" w:cs="Times New Roman"/>
      <w:sz w:val="28"/>
      <w:szCs w:val="28"/>
      <w:lang w:val="uk-UA" w:bidi="ar-SA"/>
    </w:rPr>
  </w:style>
  <w:style w:type="paragraph" w:styleId="1">
    <w:name w:val="heading 1"/>
    <w:basedOn w:val="a"/>
    <w:next w:val="a"/>
    <w:qFormat/>
    <w:pPr>
      <w:keepNext/>
      <w:keepLines/>
      <w:pageBreakBefore/>
      <w:numPr>
        <w:numId w:val="1"/>
      </w:numPr>
      <w:spacing w:before="240" w:after="120"/>
      <w:jc w:val="center"/>
      <w:outlineLvl w:val="0"/>
    </w:pPr>
    <w:rPr>
      <w:b/>
      <w:bCs/>
      <w:caps/>
      <w:lang w:val="en-US"/>
    </w:rPr>
  </w:style>
  <w:style w:type="paragraph" w:styleId="2">
    <w:name w:val="heading 2"/>
    <w:basedOn w:val="a"/>
    <w:next w:val="a"/>
    <w:qFormat/>
    <w:pPr>
      <w:keepNext/>
      <w:numPr>
        <w:ilvl w:val="1"/>
        <w:numId w:val="1"/>
      </w:numPr>
      <w:spacing w:before="240" w:after="60" w:line="276" w:lineRule="auto"/>
      <w:outlineLvl w:val="1"/>
    </w:pPr>
    <w:rPr>
      <w:rFonts w:ascii="Cambria" w:hAnsi="Cambria" w:cs="Cambria"/>
      <w:b/>
      <w:i/>
      <w:szCs w:val="20"/>
      <w:lang w:val="en-US"/>
    </w:rPr>
  </w:style>
  <w:style w:type="paragraph" w:styleId="3">
    <w:name w:val="heading 3"/>
    <w:basedOn w:val="a"/>
    <w:next w:val="a"/>
    <w:qFormat/>
    <w:pPr>
      <w:keepNext/>
      <w:numPr>
        <w:ilvl w:val="2"/>
        <w:numId w:val="1"/>
      </w:numPr>
      <w:spacing w:before="240" w:after="60" w:line="276" w:lineRule="auto"/>
      <w:outlineLvl w:val="2"/>
    </w:pPr>
    <w:rPr>
      <w:rFonts w:ascii="Cambria" w:hAnsi="Cambria" w:cs="Cambria"/>
      <w:b/>
      <w:sz w:val="26"/>
      <w:szCs w:val="20"/>
      <w:lang w:val="en-US"/>
    </w:rPr>
  </w:style>
  <w:style w:type="paragraph" w:styleId="4">
    <w:name w:val="heading 4"/>
    <w:basedOn w:val="a"/>
    <w:next w:val="a"/>
    <w:qFormat/>
    <w:pPr>
      <w:keepNext/>
      <w:numPr>
        <w:ilvl w:val="3"/>
        <w:numId w:val="1"/>
      </w:numPr>
      <w:spacing w:before="240" w:after="60" w:line="276" w:lineRule="auto"/>
      <w:outlineLvl w:val="3"/>
    </w:pPr>
    <w:rPr>
      <w:rFonts w:ascii="Calibri" w:eastAsia="Times New Roman" w:hAnsi="Calibri" w:cs="Calibri"/>
      <w:b/>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cs="Times New Roman"/>
    </w:rPr>
  </w:style>
  <w:style w:type="character" w:customStyle="1" w:styleId="WW8Num1z1">
    <w:name w:val="WW8Num1z1"/>
    <w:qFormat/>
    <w:rPr>
      <w:rFonts w:cs="Times New Roman"/>
    </w:rPr>
  </w:style>
  <w:style w:type="character" w:customStyle="1" w:styleId="WW8Num2z0">
    <w:name w:val="WW8Num2z0"/>
    <w:qFormat/>
    <w:rPr>
      <w:rFonts w:cs="Times New Roman"/>
    </w:rPr>
  </w:style>
  <w:style w:type="character" w:customStyle="1" w:styleId="WW8Num2z1">
    <w:name w:val="WW8Num2z1"/>
    <w:qFormat/>
    <w:rPr>
      <w:rFonts w:cs="Times New Roman"/>
    </w:rPr>
  </w:style>
  <w:style w:type="character" w:customStyle="1" w:styleId="WW8Num3z0">
    <w:name w:val="WW8Num3z0"/>
    <w:qFormat/>
    <w:rPr>
      <w:rFonts w:cs="Times New Roman"/>
    </w:rPr>
  </w:style>
  <w:style w:type="character" w:customStyle="1" w:styleId="WW8Num3z1">
    <w:name w:val="WW8Num3z1"/>
    <w:qFormat/>
    <w:rPr>
      <w:rFonts w:cs="Times New Roman"/>
    </w:rPr>
  </w:style>
  <w:style w:type="character" w:customStyle="1" w:styleId="FontStyle11">
    <w:name w:val="Font Style11"/>
    <w:qFormat/>
    <w:rPr>
      <w:rFonts w:ascii="Times New Roman" w:hAnsi="Times New Roman" w:cs="Times New Roman"/>
      <w:b/>
      <w:spacing w:val="-20"/>
      <w:sz w:val="32"/>
    </w:rPr>
  </w:style>
  <w:style w:type="character" w:customStyle="1" w:styleId="FontStyle12">
    <w:name w:val="Font Style12"/>
    <w:qFormat/>
    <w:rPr>
      <w:rFonts w:ascii="Times New Roman" w:hAnsi="Times New Roman" w:cs="Times New Roman"/>
      <w:spacing w:val="-10"/>
      <w:sz w:val="32"/>
    </w:rPr>
  </w:style>
  <w:style w:type="character" w:customStyle="1" w:styleId="FontStyle19">
    <w:name w:val="Font Style19"/>
    <w:qFormat/>
    <w:rPr>
      <w:rFonts w:ascii="Times New Roman" w:hAnsi="Times New Roman" w:cs="Times New Roman"/>
      <w:sz w:val="30"/>
    </w:rPr>
  </w:style>
  <w:style w:type="character" w:customStyle="1" w:styleId="apple-converted-space">
    <w:name w:val="apple-converted-space"/>
    <w:qFormat/>
    <w:rPr>
      <w:rFonts w:cs="Times New Roman"/>
    </w:rPr>
  </w:style>
  <w:style w:type="character" w:customStyle="1" w:styleId="wpkeywordlinkaffiliate">
    <w:name w:val="wp_keywordlink_affiliate"/>
    <w:qFormat/>
    <w:rPr>
      <w:rFonts w:cs="Times New Roman"/>
    </w:rPr>
  </w:style>
  <w:style w:type="character" w:customStyle="1" w:styleId="Heading1Char">
    <w:name w:val="Heading 1 Char"/>
    <w:qFormat/>
    <w:rPr>
      <w:rFonts w:ascii="Times New Roman" w:hAnsi="Times New Roman" w:cs="Times New Roman"/>
      <w:b/>
      <w:bCs/>
      <w:caps/>
      <w:sz w:val="28"/>
      <w:szCs w:val="28"/>
    </w:rPr>
  </w:style>
  <w:style w:type="character" w:customStyle="1" w:styleId="Heading2Char">
    <w:name w:val="Heading 2 Char"/>
    <w:qFormat/>
    <w:rPr>
      <w:rFonts w:ascii="Cambria" w:hAnsi="Cambria" w:cs="Cambria"/>
      <w:b/>
      <w:i/>
      <w:sz w:val="28"/>
      <w:lang w:val="en-US"/>
    </w:rPr>
  </w:style>
  <w:style w:type="character" w:customStyle="1" w:styleId="Heading3Char">
    <w:name w:val="Heading 3 Char"/>
    <w:qFormat/>
    <w:rPr>
      <w:rFonts w:ascii="Cambria" w:hAnsi="Cambria" w:cs="Cambria"/>
      <w:b/>
      <w:sz w:val="26"/>
      <w:lang w:val="en-US"/>
    </w:rPr>
  </w:style>
  <w:style w:type="character" w:customStyle="1" w:styleId="Heading4Char">
    <w:name w:val="Heading 4 Char"/>
    <w:qFormat/>
    <w:rPr>
      <w:rFonts w:eastAsia="Times New Roman"/>
      <w:b/>
      <w:sz w:val="28"/>
      <w:lang w:val="en-US"/>
    </w:rPr>
  </w:style>
  <w:style w:type="character" w:customStyle="1" w:styleId="HeaderChar">
    <w:name w:val="Header Char"/>
    <w:qFormat/>
    <w:rPr>
      <w:rFonts w:ascii="Times New Roman" w:hAnsi="Times New Roman" w:cs="Times New Roman"/>
      <w:sz w:val="24"/>
      <w:szCs w:val="24"/>
      <w:lang w:val="en-US"/>
    </w:rPr>
  </w:style>
  <w:style w:type="character" w:customStyle="1" w:styleId="FooterChar">
    <w:name w:val="Footer Char"/>
    <w:qFormat/>
    <w:rPr>
      <w:rFonts w:ascii="Times New Roman" w:hAnsi="Times New Roman" w:cs="Times New Roman"/>
      <w:sz w:val="24"/>
      <w:szCs w:val="24"/>
      <w:lang w:val="en-US"/>
    </w:rPr>
  </w:style>
  <w:style w:type="character" w:styleId="a3">
    <w:name w:val="page number"/>
    <w:rPr>
      <w:rFonts w:cs="Times New Roman"/>
    </w:rPr>
  </w:style>
  <w:style w:type="character" w:customStyle="1" w:styleId="BodyTextChar">
    <w:name w:val="Body Text Char"/>
    <w:qFormat/>
    <w:rPr>
      <w:rFonts w:ascii="Times New Roman" w:hAnsi="Times New Roman" w:cs="Times New Roman"/>
      <w:sz w:val="28"/>
      <w:lang w:val="uk-UA"/>
    </w:rPr>
  </w:style>
  <w:style w:type="character" w:customStyle="1" w:styleId="BodyTextIndentChar">
    <w:name w:val="Body Text Indent Char"/>
    <w:qFormat/>
    <w:rPr>
      <w:rFonts w:ascii="Times New Roman" w:hAnsi="Times New Roman" w:cs="Times New Roman"/>
      <w:sz w:val="24"/>
      <w:szCs w:val="24"/>
      <w:lang w:val="en-US"/>
    </w:rPr>
  </w:style>
  <w:style w:type="character" w:customStyle="1" w:styleId="BodyText2Char">
    <w:name w:val="Body Text 2 Char"/>
    <w:qFormat/>
    <w:rPr>
      <w:rFonts w:ascii="Times New Roman" w:hAnsi="Times New Roman" w:cs="Times New Roman"/>
      <w:sz w:val="24"/>
      <w:szCs w:val="24"/>
      <w:lang w:val="en-US"/>
    </w:rPr>
  </w:style>
  <w:style w:type="character" w:customStyle="1" w:styleId="BodyText3Char">
    <w:name w:val="Body Text 3 Char"/>
    <w:qFormat/>
    <w:rPr>
      <w:rFonts w:ascii="Times New Roman" w:hAnsi="Times New Roman" w:cs="Times New Roman"/>
      <w:sz w:val="16"/>
      <w:szCs w:val="16"/>
      <w:lang w:val="en-US"/>
    </w:rPr>
  </w:style>
  <w:style w:type="character" w:customStyle="1" w:styleId="BodyTextIndent2Char">
    <w:name w:val="Body Text Indent 2 Char"/>
    <w:qFormat/>
    <w:rPr>
      <w:rFonts w:ascii="Times New Roman" w:hAnsi="Times New Roman" w:cs="Times New Roman"/>
      <w:sz w:val="24"/>
      <w:szCs w:val="24"/>
      <w:lang w:val="en-US"/>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StrongEmphasis">
    <w:name w:val="Strong Emphasis"/>
    <w:qFormat/>
    <w:rPr>
      <w:b/>
    </w:rPr>
  </w:style>
  <w:style w:type="character" w:customStyle="1" w:styleId="HTMLPreformattedChar">
    <w:name w:val="HTML Preformatted Char"/>
    <w:qFormat/>
    <w:rPr>
      <w:rFonts w:ascii="Courier New" w:hAnsi="Courier New" w:cs="Courier New"/>
      <w:lang w:val="uk-UA"/>
    </w:rPr>
  </w:style>
  <w:style w:type="character" w:customStyle="1" w:styleId="a4">
    <w:name w:val="Нормальний текст Знак"/>
    <w:qFormat/>
    <w:rPr>
      <w:rFonts w:ascii="Antiqua;Courier New" w:eastAsia="Calibri" w:hAnsi="Antiqua;Courier New" w:cs="Antiqua;Courier New"/>
      <w:sz w:val="26"/>
      <w:lang w:val="uk-UA" w:bidi="ar-SA"/>
    </w:rPr>
  </w:style>
  <w:style w:type="character" w:customStyle="1" w:styleId="StyleZakonu">
    <w:name w:val="StyleZakonu Знак"/>
    <w:qFormat/>
    <w:rPr>
      <w:lang w:val="uk-UA" w:bidi="ar-SA"/>
    </w:rPr>
  </w:style>
  <w:style w:type="character" w:customStyle="1" w:styleId="FootnoteCharacters">
    <w:name w:val="Footnote Characters"/>
    <w:qFormat/>
    <w:rPr>
      <w:vertAlign w:val="superscript"/>
    </w:rPr>
  </w:style>
  <w:style w:type="character" w:styleId="HTML">
    <w:name w:val="HTML Cite"/>
    <w:qFormat/>
    <w:rPr>
      <w:i/>
      <w:iCs/>
    </w:rPr>
  </w:style>
  <w:style w:type="character" w:customStyle="1" w:styleId="a5">
    <w:name w:val="Незакрита згадка"/>
    <w:qFormat/>
    <w:rPr>
      <w:color w:val="605E5C"/>
      <w:shd w:val="clear" w:color="auto" w:fill="E1DFDD"/>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a"/>
    <w:next w:val="a6"/>
    <w:qFormat/>
    <w:pPr>
      <w:keepNext/>
      <w:spacing w:before="240" w:after="120"/>
    </w:pPr>
    <w:rPr>
      <w:rFonts w:ascii="Liberation Sans" w:eastAsia="WenQuanYi Micro Hei" w:hAnsi="Liberation Sans" w:cs="Noto Sans Devanagari"/>
    </w:rPr>
  </w:style>
  <w:style w:type="paragraph" w:styleId="a6">
    <w:name w:val="Body Text"/>
    <w:basedOn w:val="a"/>
    <w:pPr>
      <w:autoSpaceDE w:val="0"/>
      <w:spacing w:after="200" w:line="276" w:lineRule="auto"/>
      <w:jc w:val="center"/>
    </w:pPr>
    <w:rPr>
      <w:szCs w:val="20"/>
    </w:rPr>
  </w:style>
  <w:style w:type="paragraph" w:styleId="a7">
    <w:name w:val="List"/>
    <w:basedOn w:val="a6"/>
    <w:rPr>
      <w:rFonts w:cs="Noto Sans Devanagari"/>
    </w:rPr>
  </w:style>
  <w:style w:type="paragraph" w:styleId="a8">
    <w:name w:val="caption"/>
    <w:basedOn w:val="a"/>
    <w:qFormat/>
    <w:pPr>
      <w:suppressLineNumbers/>
      <w:spacing w:before="120" w:after="120"/>
    </w:pPr>
    <w:rPr>
      <w:rFonts w:cs="Noto Sans Devanagari"/>
      <w:i/>
      <w:iCs/>
      <w:sz w:val="24"/>
      <w:szCs w:val="24"/>
    </w:rPr>
  </w:style>
  <w:style w:type="paragraph" w:customStyle="1" w:styleId="Index">
    <w:name w:val="Index"/>
    <w:basedOn w:val="a"/>
    <w:qFormat/>
    <w:pPr>
      <w:suppressLineNumbers/>
    </w:pPr>
    <w:rPr>
      <w:rFonts w:cs="Noto Sans Devanagari"/>
    </w:rPr>
  </w:style>
  <w:style w:type="paragraph" w:customStyle="1" w:styleId="10">
    <w:name w:val="Абзац списка1"/>
    <w:basedOn w:val="a"/>
    <w:qFormat/>
    <w:pPr>
      <w:spacing w:after="200" w:line="276" w:lineRule="auto"/>
      <w:ind w:left="720"/>
    </w:pPr>
    <w:rPr>
      <w:rFonts w:ascii="Calibri" w:eastAsia="Times New Roman" w:hAnsi="Calibri" w:cs="Calibri"/>
      <w:sz w:val="22"/>
      <w:szCs w:val="22"/>
    </w:rPr>
  </w:style>
  <w:style w:type="paragraph" w:customStyle="1" w:styleId="BodyText21">
    <w:name w:val="Body Text 21"/>
    <w:basedOn w:val="a"/>
    <w:qFormat/>
    <w:pPr>
      <w:autoSpaceDE w:val="0"/>
      <w:spacing w:after="200" w:line="276" w:lineRule="auto"/>
    </w:pPr>
  </w:style>
  <w:style w:type="paragraph" w:customStyle="1" w:styleId="20">
    <w:name w:val="Абзац списка2"/>
    <w:basedOn w:val="a"/>
    <w:qFormat/>
    <w:pPr>
      <w:spacing w:after="200" w:line="276" w:lineRule="auto"/>
      <w:ind w:left="708"/>
    </w:pPr>
    <w:rPr>
      <w:rFonts w:ascii="Arial" w:hAnsi="Arial" w:cs="Arial"/>
      <w:szCs w:val="20"/>
    </w:rPr>
  </w:style>
  <w:style w:type="paragraph" w:customStyle="1" w:styleId="11">
    <w:name w:val="1"/>
    <w:basedOn w:val="a"/>
    <w:qFormat/>
    <w:pPr>
      <w:spacing w:after="200" w:line="276" w:lineRule="auto"/>
    </w:pPr>
    <w:rPr>
      <w:rFonts w:ascii="Verdana" w:hAnsi="Verdana" w:cs="Verdana"/>
      <w:sz w:val="20"/>
      <w:szCs w:val="20"/>
      <w:lang w:val="en-US"/>
    </w:rPr>
  </w:style>
  <w:style w:type="paragraph" w:styleId="a9">
    <w:name w:val="List Paragraph"/>
    <w:basedOn w:val="a"/>
    <w:qFormat/>
    <w:pPr>
      <w:spacing w:after="200" w:line="276" w:lineRule="auto"/>
      <w:ind w:left="720"/>
    </w:pPr>
    <w:rPr>
      <w:rFonts w:ascii="Arial" w:hAnsi="Arial" w:cs="Arial"/>
      <w:szCs w:val="20"/>
    </w:rPr>
  </w:style>
  <w:style w:type="paragraph" w:customStyle="1" w:styleId="rtejustify">
    <w:name w:val="rtejustify"/>
    <w:basedOn w:val="a"/>
    <w:qFormat/>
    <w:pPr>
      <w:spacing w:before="280" w:after="280" w:line="276" w:lineRule="auto"/>
    </w:pPr>
    <w:rPr>
      <w:szCs w:val="22"/>
    </w:rPr>
  </w:style>
  <w:style w:type="paragraph" w:styleId="12">
    <w:name w:val="toc 1"/>
    <w:basedOn w:val="a"/>
    <w:next w:val="a"/>
    <w:pPr>
      <w:tabs>
        <w:tab w:val="right" w:leader="dot" w:pos="10260"/>
      </w:tabs>
      <w:spacing w:after="100" w:line="276" w:lineRule="auto"/>
      <w:ind w:right="-105"/>
    </w:pPr>
    <w:rPr>
      <w:szCs w:val="22"/>
    </w:rPr>
  </w:style>
  <w:style w:type="paragraph" w:customStyle="1" w:styleId="HeaderandFooter">
    <w:name w:val="Header and Footer"/>
    <w:basedOn w:val="a"/>
    <w:qFormat/>
    <w:pPr>
      <w:suppressLineNumbers/>
      <w:tabs>
        <w:tab w:val="center" w:pos="4986"/>
        <w:tab w:val="right" w:pos="9972"/>
      </w:tabs>
    </w:pPr>
  </w:style>
  <w:style w:type="paragraph" w:styleId="aa">
    <w:name w:val="header"/>
    <w:basedOn w:val="a"/>
    <w:pPr>
      <w:tabs>
        <w:tab w:val="center" w:pos="4677"/>
        <w:tab w:val="right" w:pos="9355"/>
      </w:tabs>
      <w:spacing w:after="200" w:line="276" w:lineRule="auto"/>
    </w:pPr>
    <w:rPr>
      <w:sz w:val="24"/>
      <w:szCs w:val="24"/>
      <w:lang w:val="en-US"/>
    </w:rPr>
  </w:style>
  <w:style w:type="paragraph" w:styleId="ab">
    <w:name w:val="footer"/>
    <w:basedOn w:val="a"/>
    <w:pPr>
      <w:tabs>
        <w:tab w:val="center" w:pos="4677"/>
        <w:tab w:val="right" w:pos="9355"/>
      </w:tabs>
      <w:spacing w:after="200" w:line="276" w:lineRule="auto"/>
    </w:pPr>
    <w:rPr>
      <w:sz w:val="24"/>
      <w:szCs w:val="24"/>
      <w:lang w:val="en-US"/>
    </w:rPr>
  </w:style>
  <w:style w:type="paragraph" w:styleId="ac">
    <w:name w:val="Body Text Indent"/>
    <w:basedOn w:val="a"/>
    <w:pPr>
      <w:spacing w:after="120" w:line="276" w:lineRule="auto"/>
      <w:ind w:left="283"/>
    </w:pPr>
    <w:rPr>
      <w:sz w:val="24"/>
      <w:szCs w:val="24"/>
      <w:lang w:val="en-US"/>
    </w:rPr>
  </w:style>
  <w:style w:type="paragraph" w:styleId="21">
    <w:name w:val="Body Text 2"/>
    <w:basedOn w:val="a"/>
    <w:qFormat/>
    <w:pPr>
      <w:spacing w:after="120" w:line="480" w:lineRule="auto"/>
    </w:pPr>
    <w:rPr>
      <w:sz w:val="24"/>
      <w:szCs w:val="24"/>
      <w:lang w:val="en-US"/>
    </w:rPr>
  </w:style>
  <w:style w:type="paragraph" w:styleId="30">
    <w:name w:val="Body Text 3"/>
    <w:basedOn w:val="a"/>
    <w:qFormat/>
    <w:pPr>
      <w:spacing w:after="120" w:line="276" w:lineRule="auto"/>
    </w:pPr>
    <w:rPr>
      <w:sz w:val="16"/>
      <w:szCs w:val="16"/>
      <w:lang w:val="en-US"/>
    </w:rPr>
  </w:style>
  <w:style w:type="paragraph" w:styleId="22">
    <w:name w:val="Body Text Indent 2"/>
    <w:basedOn w:val="a"/>
    <w:qFormat/>
    <w:pPr>
      <w:spacing w:after="120" w:line="480" w:lineRule="auto"/>
      <w:ind w:left="283"/>
    </w:pPr>
    <w:rPr>
      <w:sz w:val="24"/>
      <w:szCs w:val="24"/>
      <w:lang w:val="en-US"/>
    </w:rPr>
  </w:style>
  <w:style w:type="paragraph" w:styleId="ad">
    <w:name w:val="Normal (Web)"/>
    <w:basedOn w:val="a"/>
    <w:qFormat/>
    <w:pPr>
      <w:spacing w:before="280" w:after="280" w:line="276" w:lineRule="auto"/>
    </w:pPr>
    <w:rPr>
      <w:szCs w:val="22"/>
    </w:rPr>
  </w:style>
  <w:style w:type="paragraph" w:styleId="HTML0">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cs="Courier New"/>
      <w:sz w:val="20"/>
      <w:szCs w:val="20"/>
    </w:rPr>
  </w:style>
  <w:style w:type="paragraph" w:customStyle="1" w:styleId="ListParagraph1">
    <w:name w:val="List Paragraph1"/>
    <w:basedOn w:val="a"/>
    <w:qFormat/>
    <w:pPr>
      <w:spacing w:after="200" w:line="276" w:lineRule="auto"/>
      <w:ind w:left="708"/>
    </w:pPr>
    <w:rPr>
      <w:rFonts w:ascii="Arial" w:hAnsi="Arial" w:cs="Arial"/>
      <w:szCs w:val="20"/>
    </w:rPr>
  </w:style>
  <w:style w:type="paragraph" w:customStyle="1" w:styleId="TOCHeading1">
    <w:name w:val="TOC Heading1"/>
    <w:basedOn w:val="1"/>
    <w:next w:val="a"/>
    <w:qFormat/>
    <w:pPr>
      <w:numPr>
        <w:numId w:val="0"/>
      </w:numPr>
      <w:spacing w:before="480" w:line="276" w:lineRule="auto"/>
    </w:pPr>
    <w:rPr>
      <w:b w:val="0"/>
      <w:bCs w:val="0"/>
    </w:rPr>
  </w:style>
  <w:style w:type="paragraph" w:customStyle="1" w:styleId="Nazva">
    <w:name w:val="Nazva"/>
    <w:basedOn w:val="a"/>
    <w:qFormat/>
    <w:pPr>
      <w:jc w:val="center"/>
    </w:pPr>
    <w:rPr>
      <w:b/>
    </w:rPr>
  </w:style>
  <w:style w:type="paragraph" w:customStyle="1" w:styleId="Igor">
    <w:name w:val="Igor"/>
    <w:basedOn w:val="a"/>
    <w:qFormat/>
    <w:pPr>
      <w:spacing w:before="120" w:after="120"/>
      <w:ind w:firstLine="709"/>
      <w:jc w:val="both"/>
    </w:pPr>
    <w:rPr>
      <w:b/>
      <w:i/>
    </w:rPr>
  </w:style>
  <w:style w:type="paragraph" w:customStyle="1" w:styleId="ae">
    <w:name w:val="Нормальний текст"/>
    <w:basedOn w:val="a"/>
    <w:qFormat/>
    <w:pPr>
      <w:spacing w:before="120"/>
      <w:ind w:firstLine="567"/>
      <w:jc w:val="both"/>
    </w:pPr>
    <w:rPr>
      <w:rFonts w:ascii="Antiqua;Courier New" w:hAnsi="Antiqua;Courier New" w:cs="Antiqua;Courier New"/>
      <w:sz w:val="26"/>
      <w:szCs w:val="20"/>
    </w:rPr>
  </w:style>
  <w:style w:type="paragraph" w:customStyle="1" w:styleId="StyleZakonu0">
    <w:name w:val="StyleZakonu"/>
    <w:basedOn w:val="a"/>
    <w:qFormat/>
    <w:pPr>
      <w:spacing w:after="60" w:line="220" w:lineRule="exact"/>
      <w:ind w:firstLine="284"/>
      <w:jc w:val="both"/>
    </w:pPr>
    <w:rPr>
      <w:rFonts w:ascii="Calibri" w:hAnsi="Calibri" w:cs="Calibri"/>
      <w:sz w:val="20"/>
      <w:szCs w:val="20"/>
    </w:rPr>
  </w:style>
  <w:style w:type="paragraph" w:styleId="af">
    <w:name w:val="footnote text"/>
    <w:basedOn w:val="a"/>
    <w:rPr>
      <w:sz w:val="20"/>
      <w:szCs w:val="2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af0">
    <w:name w:val="Balloon Text"/>
    <w:basedOn w:val="a"/>
    <w:link w:val="af1"/>
    <w:uiPriority w:val="99"/>
    <w:semiHidden/>
    <w:unhideWhenUsed/>
    <w:rsid w:val="00FC1ABB"/>
    <w:rPr>
      <w:rFonts w:ascii="Segoe UI" w:hAnsi="Segoe UI" w:cs="Segoe UI"/>
      <w:sz w:val="18"/>
      <w:szCs w:val="18"/>
    </w:rPr>
  </w:style>
  <w:style w:type="character" w:customStyle="1" w:styleId="af1">
    <w:name w:val="Текст у виносці Знак"/>
    <w:basedOn w:val="a0"/>
    <w:link w:val="af0"/>
    <w:uiPriority w:val="99"/>
    <w:semiHidden/>
    <w:rsid w:val="00FC1ABB"/>
    <w:rPr>
      <w:rFonts w:ascii="Segoe UI" w:eastAsia="Calibri" w:hAnsi="Segoe UI" w:cs="Segoe UI"/>
      <w:sz w:val="18"/>
      <w:szCs w:val="18"/>
      <w:lang w:val="uk-U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viaduk.net/clients/vsu/vsu.nsf/" TargetMode="External"/><Relationship Id="rId1" Type="http://schemas.openxmlformats.org/officeDocument/2006/relationships/hyperlink" Target="http://publications.chamber.ua/2016/HR/Ukraine%20Labour%20Law%20draft%20Tech%20Mem_April%202016.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9019</Words>
  <Characters>5142</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
  <LinksUpToDate>false</LinksUpToDate>
  <CharactersWithSpaces>14133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Sergio</dc:creator>
  <dc:description/>
  <cp:lastModifiedBy>Лопотуха Інна Григорівна</cp:lastModifiedBy>
  <cp:revision>13</cp:revision>
  <cp:lastPrinted>2020-03-25T10:57:00Z</cp:lastPrinted>
  <dcterms:created xsi:type="dcterms:W3CDTF">2020-03-25T10:51:00Z</dcterms:created>
  <dcterms:modified xsi:type="dcterms:W3CDTF">2020-03-25T11:12:00Z</dcterms:modified>
  <dc:language>en-US</dc:language>
</cp:coreProperties>
</file>